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7BA7" w14:textId="2BF4C8EA" w:rsidR="00AB3059" w:rsidRDefault="00AB3059" w:rsidP="000F6369">
      <w:pPr>
        <w:jc w:val="center"/>
        <w:rPr>
          <w:b/>
        </w:rPr>
      </w:pPr>
      <w:r>
        <w:rPr>
          <w:b/>
        </w:rPr>
        <w:t>Nearly 1.3</w:t>
      </w:r>
      <w:r w:rsidR="000C3AEF">
        <w:rPr>
          <w:b/>
        </w:rPr>
        <w:t>4</w:t>
      </w:r>
      <w:r>
        <w:rPr>
          <w:b/>
        </w:rPr>
        <w:t xml:space="preserve"> Million U</w:t>
      </w:r>
      <w:r w:rsidR="00804F98">
        <w:rPr>
          <w:b/>
        </w:rPr>
        <w:t>ninsured Community Health Center Patients Would</w:t>
      </w:r>
    </w:p>
    <w:p w14:paraId="66EAC49C" w14:textId="5519178A" w:rsidR="00AB3059" w:rsidRDefault="00804F98" w:rsidP="00FB6E5B">
      <w:pPr>
        <w:jc w:val="center"/>
        <w:rPr>
          <w:b/>
        </w:rPr>
      </w:pPr>
      <w:r>
        <w:rPr>
          <w:b/>
        </w:rPr>
        <w:t xml:space="preserve">Gain Coverage in 2022 </w:t>
      </w:r>
      <w:r w:rsidR="00FB6E5B">
        <w:rPr>
          <w:b/>
        </w:rPr>
        <w:t>under</w:t>
      </w:r>
      <w:r>
        <w:rPr>
          <w:b/>
        </w:rPr>
        <w:t xml:space="preserve"> Build Back Better</w:t>
      </w:r>
    </w:p>
    <w:p w14:paraId="57857ADF" w14:textId="77777777" w:rsidR="009C47A5" w:rsidRDefault="009C47A5" w:rsidP="00A247DF">
      <w:pPr>
        <w:jc w:val="center"/>
        <w:rPr>
          <w:b/>
        </w:rPr>
      </w:pPr>
      <w:r>
        <w:rPr>
          <w:b/>
        </w:rPr>
        <w:t>Jessica Sharac</w:t>
      </w:r>
    </w:p>
    <w:p w14:paraId="36C7B3EC" w14:textId="77777777" w:rsidR="009321B1" w:rsidRDefault="009321B1" w:rsidP="005565B7">
      <w:pPr>
        <w:jc w:val="center"/>
        <w:rPr>
          <w:b/>
        </w:rPr>
      </w:pPr>
      <w:r>
        <w:rPr>
          <w:b/>
        </w:rPr>
        <w:t>Erin Brantley</w:t>
      </w:r>
    </w:p>
    <w:p w14:paraId="264E48B1" w14:textId="77777777" w:rsidR="009C47A5" w:rsidRDefault="009C47A5" w:rsidP="005565B7">
      <w:pPr>
        <w:jc w:val="center"/>
        <w:rPr>
          <w:b/>
        </w:rPr>
      </w:pPr>
      <w:r>
        <w:rPr>
          <w:b/>
        </w:rPr>
        <w:t>Peter Shin</w:t>
      </w:r>
    </w:p>
    <w:p w14:paraId="24476D9E" w14:textId="77777777" w:rsidR="009C47A5" w:rsidRDefault="009C47A5" w:rsidP="005565B7">
      <w:pPr>
        <w:jc w:val="center"/>
        <w:rPr>
          <w:b/>
        </w:rPr>
      </w:pPr>
      <w:r>
        <w:rPr>
          <w:b/>
        </w:rPr>
        <w:t>Leighton Ku</w:t>
      </w:r>
    </w:p>
    <w:p w14:paraId="63450C88" w14:textId="77777777" w:rsidR="009C6393" w:rsidRDefault="009C6393" w:rsidP="005565B7">
      <w:pPr>
        <w:jc w:val="center"/>
        <w:rPr>
          <w:b/>
        </w:rPr>
      </w:pPr>
      <w:r>
        <w:rPr>
          <w:b/>
        </w:rPr>
        <w:t>Feygele Jacobs</w:t>
      </w:r>
    </w:p>
    <w:p w14:paraId="6AFE97D8" w14:textId="77777777" w:rsidR="009C47A5" w:rsidRDefault="009C47A5" w:rsidP="005565B7">
      <w:pPr>
        <w:jc w:val="center"/>
        <w:rPr>
          <w:b/>
        </w:rPr>
      </w:pPr>
      <w:r>
        <w:rPr>
          <w:b/>
        </w:rPr>
        <w:t>Sara Rosenbaum</w:t>
      </w:r>
    </w:p>
    <w:p w14:paraId="44141C86" w14:textId="73C9F194" w:rsidR="00AB3059" w:rsidRDefault="00AB3059" w:rsidP="005565B7">
      <w:pPr>
        <w:jc w:val="center"/>
        <w:rPr>
          <w:b/>
        </w:rPr>
      </w:pPr>
      <w:r>
        <w:rPr>
          <w:b/>
        </w:rPr>
        <w:t xml:space="preserve">November </w:t>
      </w:r>
      <w:r w:rsidR="00FB6E5B">
        <w:rPr>
          <w:b/>
        </w:rPr>
        <w:t>8</w:t>
      </w:r>
      <w:r>
        <w:rPr>
          <w:b/>
        </w:rPr>
        <w:t>, 2021</w:t>
      </w:r>
    </w:p>
    <w:p w14:paraId="52971F9D" w14:textId="77777777" w:rsidR="00FB6E5B" w:rsidRPr="00B659E6" w:rsidRDefault="00FB6E5B" w:rsidP="005565B7">
      <w:pPr>
        <w:jc w:val="both"/>
        <w:rPr>
          <w:b/>
        </w:rPr>
      </w:pPr>
    </w:p>
    <w:p w14:paraId="0AA4A933" w14:textId="43942765" w:rsidR="00804F98" w:rsidRDefault="00804F98" w:rsidP="005565B7">
      <w:pPr>
        <w:jc w:val="both"/>
      </w:pPr>
      <w:r>
        <w:t>Community health centers</w:t>
      </w:r>
      <w:r w:rsidR="00A247DF">
        <w:t xml:space="preserve"> (CHCs) </w:t>
      </w:r>
      <w:r>
        <w:t>provide comprehensive primary health care in the nation’s most seriously medically underserved urban and rural communities.</w:t>
      </w:r>
      <w:r w:rsidR="000F6369">
        <w:t xml:space="preserve"> </w:t>
      </w:r>
      <w:r>
        <w:t xml:space="preserve">In 2020, CHCs served </w:t>
      </w:r>
      <w:r w:rsidR="000F6369">
        <w:t>nearly</w:t>
      </w:r>
      <w:r w:rsidR="00C30697">
        <w:t xml:space="preserve"> </w:t>
      </w:r>
      <w:r w:rsidR="000F6369">
        <w:t xml:space="preserve">29 </w:t>
      </w:r>
      <w:r w:rsidR="00C30697">
        <w:t xml:space="preserve">million patients, 22 </w:t>
      </w:r>
      <w:r>
        <w:t>percent of whom were uninsured.</w:t>
      </w:r>
      <w:r>
        <w:rPr>
          <w:rStyle w:val="FootnoteReference"/>
        </w:rPr>
        <w:footnoteReference w:id="1"/>
      </w:r>
      <w:r w:rsidR="000F6369">
        <w:t xml:space="preserve"> </w:t>
      </w:r>
      <w:r>
        <w:t xml:space="preserve">Uninsured rates are significantly greater </w:t>
      </w:r>
      <w:r w:rsidR="00EE41A5">
        <w:t>among patients served by</w:t>
      </w:r>
      <w:r>
        <w:t xml:space="preserve"> CHCs located in states that have not adopted the Affordable Care Act’</w:t>
      </w:r>
      <w:r w:rsidR="00156B4A">
        <w:t>s Medicaid expansion (33</w:t>
      </w:r>
      <w:r>
        <w:t xml:space="preserve"> p</w:t>
      </w:r>
      <w:r w:rsidR="00156B4A">
        <w:t>ercent compared to 18</w:t>
      </w:r>
      <w:r>
        <w:t xml:space="preserve"> percent in Medicaid expansion states</w:t>
      </w:r>
      <w:r w:rsidR="000F6369">
        <w:t xml:space="preserve"> in 2020</w:t>
      </w:r>
      <w:r>
        <w:t>).</w:t>
      </w:r>
      <w:r w:rsidR="000F6369">
        <w:t xml:space="preserve"> </w:t>
      </w:r>
      <w:r>
        <w:t>Health insurance plays a vital role for health centers and their patients in two respects.</w:t>
      </w:r>
      <w:r w:rsidR="000F6369">
        <w:t xml:space="preserve"> </w:t>
      </w:r>
      <w:r>
        <w:t xml:space="preserve">Because insurance is so determinative of health care access, </w:t>
      </w:r>
      <w:r w:rsidR="003528CB">
        <w:t>community health centers</w:t>
      </w:r>
      <w:r>
        <w:t xml:space="preserve"> have a significantly easier time securing the specialized clinical care their patients need when they are insured.</w:t>
      </w:r>
      <w:r w:rsidR="000F6369">
        <w:t xml:space="preserve"> </w:t>
      </w:r>
      <w:r>
        <w:t>Furthermore, health insurance provides CHCs with much</w:t>
      </w:r>
      <w:r w:rsidR="003528CB">
        <w:t>-</w:t>
      </w:r>
      <w:r>
        <w:t>needed revenue that can be invested in sites, services, and staffing.</w:t>
      </w:r>
      <w:r w:rsidR="000F6369">
        <w:t xml:space="preserve"> </w:t>
      </w:r>
      <w:r>
        <w:t xml:space="preserve">CHCs in Medicaid expansion states </w:t>
      </w:r>
      <w:r w:rsidR="00D443CC">
        <w:t xml:space="preserve">on average </w:t>
      </w:r>
      <w:r>
        <w:t xml:space="preserve">serve more patients, have larger and more robust staff, and operate </w:t>
      </w:r>
      <w:r w:rsidR="000F6369">
        <w:t>a greater number of sites</w:t>
      </w:r>
      <w:r w:rsidR="00D443CC">
        <w:t>, and are more likely to offer a wider range of services</w:t>
      </w:r>
      <w:r w:rsidR="000F6369">
        <w:t>.</w:t>
      </w:r>
      <w:r>
        <w:rPr>
          <w:rStyle w:val="FootnoteReference"/>
        </w:rPr>
        <w:footnoteReference w:id="2"/>
      </w:r>
    </w:p>
    <w:p w14:paraId="69FBB0DD" w14:textId="46B8802D" w:rsidR="00711CA5" w:rsidRDefault="00156B4A" w:rsidP="005565B7">
      <w:pPr>
        <w:jc w:val="both"/>
      </w:pPr>
      <w:r>
        <w:t xml:space="preserve">The </w:t>
      </w:r>
      <w:r w:rsidR="00B06722">
        <w:t xml:space="preserve">draft </w:t>
      </w:r>
      <w:r>
        <w:t>Build Back Better (BBB) Act</w:t>
      </w:r>
      <w:r w:rsidR="00B06722">
        <w:t>,</w:t>
      </w:r>
      <w:r>
        <w:t xml:space="preserve"> now pending in </w:t>
      </w:r>
      <w:r w:rsidR="00B06722">
        <w:t>the House of Representatives</w:t>
      </w:r>
      <w:r w:rsidR="00FB6E5B">
        <w:t>,</w:t>
      </w:r>
      <w:r w:rsidR="00B06722">
        <w:rPr>
          <w:rStyle w:val="FootnoteReference"/>
        </w:rPr>
        <w:footnoteReference w:id="3"/>
      </w:r>
      <w:r w:rsidR="00FB6E5B">
        <w:t xml:space="preserve"> </w:t>
      </w:r>
      <w:r>
        <w:t xml:space="preserve">would </w:t>
      </w:r>
      <w:r w:rsidR="00B659E6">
        <w:t xml:space="preserve">make permanent the </w:t>
      </w:r>
      <w:r>
        <w:t>more generous enhanced Marketplace</w:t>
      </w:r>
      <w:r w:rsidR="000F6369">
        <w:t xml:space="preserve"> </w:t>
      </w:r>
      <w:r w:rsidR="00B659E6">
        <w:t xml:space="preserve">premium subsidies established in the American Rescue Plan </w:t>
      </w:r>
      <w:r w:rsidR="008F528B">
        <w:t>Act</w:t>
      </w:r>
      <w:r>
        <w:t xml:space="preserve">. BBB would </w:t>
      </w:r>
      <w:r w:rsidR="00AE4C9A">
        <w:t xml:space="preserve">also </w:t>
      </w:r>
      <w:r>
        <w:t xml:space="preserve">address the </w:t>
      </w:r>
      <w:r w:rsidR="00B659E6">
        <w:t>coverage gap</w:t>
      </w:r>
      <w:r w:rsidR="00DA26DA">
        <w:rPr>
          <w:rStyle w:val="FootnoteReference"/>
        </w:rPr>
        <w:footnoteReference w:id="4"/>
      </w:r>
      <w:r>
        <w:t xml:space="preserve"> in Medicaid </w:t>
      </w:r>
      <w:r w:rsidR="00B659E6">
        <w:t xml:space="preserve">non-expansion states by </w:t>
      </w:r>
      <w:r>
        <w:t xml:space="preserve">extending </w:t>
      </w:r>
      <w:r w:rsidR="00B659E6">
        <w:t xml:space="preserve">Marketplace subsidies </w:t>
      </w:r>
      <w:r w:rsidR="00DA26DA">
        <w:t xml:space="preserve">for individuals with incomes below 100 percent of the federal poverty </w:t>
      </w:r>
      <w:r w:rsidR="00DA26DA">
        <w:lastRenderedPageBreak/>
        <w:t>level ($12,880 for one person in 2021)</w:t>
      </w:r>
      <w:r w:rsidR="00DA26DA">
        <w:rPr>
          <w:rStyle w:val="FootnoteReference"/>
        </w:rPr>
        <w:footnoteReference w:id="5"/>
      </w:r>
      <w:r>
        <w:t xml:space="preserve"> who today remain completely uninsured. These two </w:t>
      </w:r>
      <w:r w:rsidR="00DA26DA">
        <w:t xml:space="preserve">reforms </w:t>
      </w:r>
      <w:r w:rsidR="00605C0E">
        <w:t>are expected to inc</w:t>
      </w:r>
      <w:r>
        <w:t>rease insurance coverage by: 1) expanding</w:t>
      </w:r>
      <w:r w:rsidR="00605C0E">
        <w:t xml:space="preserve"> </w:t>
      </w:r>
      <w:r>
        <w:t xml:space="preserve">access to affordable </w:t>
      </w:r>
      <w:r w:rsidR="00605C0E">
        <w:t>Marketplace coverage</w:t>
      </w:r>
      <w:r w:rsidR="00605C0E" w:rsidRPr="00605C0E">
        <w:t xml:space="preserve"> for previously ineligible uninsured people in non-expansion states</w:t>
      </w:r>
      <w:r w:rsidR="00033265">
        <w:t xml:space="preserve"> for three years, from 2022 to 2025</w:t>
      </w:r>
      <w:r>
        <w:t>;</w:t>
      </w:r>
      <w:r w:rsidR="00605C0E">
        <w:t xml:space="preserve"> 2) </w:t>
      </w:r>
      <w:r>
        <w:t>providing more generous subsidies for low</w:t>
      </w:r>
      <w:r w:rsidR="00AE4C9A">
        <w:t>-</w:t>
      </w:r>
      <w:r>
        <w:t xml:space="preserve">income people that </w:t>
      </w:r>
      <w:r w:rsidR="00AE4C9A">
        <w:t xml:space="preserve">would </w:t>
      </w:r>
      <w:r>
        <w:t xml:space="preserve">encourage greater enrollment among </w:t>
      </w:r>
      <w:r w:rsidR="00110EC4">
        <w:t xml:space="preserve">those </w:t>
      </w:r>
      <w:r w:rsidR="00605C0E">
        <w:t>who were previously eligible but not enrolled</w:t>
      </w:r>
      <w:r>
        <w:t xml:space="preserve"> in Marketplace plans;</w:t>
      </w:r>
      <w:r w:rsidR="00605C0E">
        <w:t xml:space="preserve"> and 3) slightly increasing Medicaid or Children’s Health Insurance Plan (CHIP) enrollment by identifying family members of Marketplace applicants who are eligible for Medicaid/CHIP. </w:t>
      </w:r>
      <w:r>
        <w:t xml:space="preserve">Urban Institute </w:t>
      </w:r>
      <w:r w:rsidR="00D443CC">
        <w:t xml:space="preserve">researchers have </w:t>
      </w:r>
      <w:r>
        <w:t xml:space="preserve">estimated that together, these reforms will </w:t>
      </w:r>
      <w:r w:rsidR="00DA26DA">
        <w:t>reduce the number of uninsured individuals in the U.S. by nearly seven million</w:t>
      </w:r>
      <w:r>
        <w:t xml:space="preserve"> people</w:t>
      </w:r>
      <w:r w:rsidR="00033265">
        <w:t xml:space="preserve"> in 2022</w:t>
      </w:r>
      <w:r w:rsidR="00DA26DA">
        <w:t>.</w:t>
      </w:r>
      <w:r>
        <w:rPr>
          <w:rStyle w:val="FootnoteReference"/>
        </w:rPr>
        <w:footnoteReference w:id="6"/>
      </w:r>
      <w:r w:rsidR="000F6369">
        <w:t xml:space="preserve"> </w:t>
      </w:r>
      <w:r w:rsidR="00D443CC">
        <w:t>They</w:t>
      </w:r>
      <w:r>
        <w:t xml:space="preserve"> </w:t>
      </w:r>
      <w:r w:rsidR="00D443CC">
        <w:t xml:space="preserve">also </w:t>
      </w:r>
      <w:r>
        <w:t xml:space="preserve">developed state-by state impact estimates showing how these changes overall would affect </w:t>
      </w:r>
      <w:r w:rsidR="00556D80">
        <w:t>uninsured individuals in the 50 states and the District of Columbia</w:t>
      </w:r>
      <w:r w:rsidR="00D443CC">
        <w:t xml:space="preserve"> (DC)</w:t>
      </w:r>
      <w:r w:rsidR="00556D80">
        <w:t>.</w:t>
      </w:r>
      <w:r w:rsidR="00556D80">
        <w:rPr>
          <w:rStyle w:val="FootnoteReference"/>
        </w:rPr>
        <w:footnoteReference w:id="7"/>
      </w:r>
      <w:r w:rsidR="00556D80">
        <w:t xml:space="preserve"> </w:t>
      </w:r>
    </w:p>
    <w:p w14:paraId="77BCF5FC" w14:textId="2F1A1A23" w:rsidR="00156B4A" w:rsidRDefault="00110EC4" w:rsidP="005565B7">
      <w:pPr>
        <w:jc w:val="both"/>
      </w:pPr>
      <w:r>
        <w:t>T</w:t>
      </w:r>
      <w:r w:rsidR="00556D80">
        <w:t xml:space="preserve">o estimate </w:t>
      </w:r>
      <w:r w:rsidR="00156B4A">
        <w:t xml:space="preserve">the impact of these reforms on </w:t>
      </w:r>
      <w:r w:rsidR="00556D80">
        <w:t xml:space="preserve">community health center patients, </w:t>
      </w:r>
      <w:r w:rsidR="00156B4A">
        <w:t xml:space="preserve">we applied the </w:t>
      </w:r>
      <w:r w:rsidR="009973A5">
        <w:t xml:space="preserve">Urban Institute’s </w:t>
      </w:r>
      <w:r w:rsidR="00156B4A">
        <w:t>state</w:t>
      </w:r>
      <w:r>
        <w:t>-specific</w:t>
      </w:r>
      <w:r w:rsidR="000F6369">
        <w:t xml:space="preserve"> </w:t>
      </w:r>
      <w:r w:rsidR="009973A5">
        <w:t>estimated</w:t>
      </w:r>
      <w:r w:rsidR="000F6369">
        <w:t xml:space="preserve"> </w:t>
      </w:r>
      <w:r w:rsidR="00156B4A">
        <w:t xml:space="preserve">declines in uninsured rates to the </w:t>
      </w:r>
      <w:r w:rsidR="00556D80">
        <w:t>number of uninsu</w:t>
      </w:r>
      <w:r w:rsidR="00156B4A">
        <w:t xml:space="preserve">red </w:t>
      </w:r>
      <w:r w:rsidR="00E43EE5">
        <w:t xml:space="preserve">health center </w:t>
      </w:r>
      <w:r w:rsidR="00156B4A">
        <w:t xml:space="preserve">patients in the 50 states and </w:t>
      </w:r>
      <w:r w:rsidR="00D443CC">
        <w:t>DC</w:t>
      </w:r>
      <w:r w:rsidR="00156B4A">
        <w:t xml:space="preserve">, as reported by CHCs in the </w:t>
      </w:r>
      <w:r w:rsidR="00556D80">
        <w:t>2020 Uniform Data System.</w:t>
      </w:r>
      <w:r w:rsidR="00556D80">
        <w:rPr>
          <w:rStyle w:val="FootnoteReference"/>
        </w:rPr>
        <w:footnoteReference w:id="8"/>
      </w:r>
      <w:r w:rsidR="00556D80">
        <w:t xml:space="preserve"> Although the share of uninsured health center patients </w:t>
      </w:r>
      <w:r w:rsidR="00363AF3">
        <w:t>has declined over the past decade, from 38 percent in 2010 to 22 percent in 2020,</w:t>
      </w:r>
      <w:r w:rsidR="00363AF3">
        <w:rPr>
          <w:rStyle w:val="FootnoteReference"/>
        </w:rPr>
        <w:footnoteReference w:id="9"/>
      </w:r>
      <w:r w:rsidR="00363AF3">
        <w:t xml:space="preserve"> </w:t>
      </w:r>
      <w:r w:rsidR="00156B4A">
        <w:t xml:space="preserve">some 6.2 million CHC patients remained uninsured in </w:t>
      </w:r>
      <w:r w:rsidR="00363AF3">
        <w:t>2020 and</w:t>
      </w:r>
      <w:r w:rsidR="00156B4A">
        <w:t>, as noted, the uninsured rate remained far higher in Medicaid non</w:t>
      </w:r>
      <w:r>
        <w:t>-</w:t>
      </w:r>
      <w:r w:rsidR="00156B4A">
        <w:t xml:space="preserve">expansion states. </w:t>
      </w:r>
    </w:p>
    <w:p w14:paraId="2735AD60" w14:textId="195E0CA9" w:rsidR="009A444E" w:rsidRDefault="00363AF3" w:rsidP="005565B7">
      <w:pPr>
        <w:jc w:val="both"/>
      </w:pPr>
      <w:r>
        <w:t>Table 1 shows the estimated increase in insured health center patients by state and the sum totals by expansion</w:t>
      </w:r>
      <w:r w:rsidR="000F6369">
        <w:t xml:space="preserve"> </w:t>
      </w:r>
      <w:r>
        <w:t xml:space="preserve">status </w:t>
      </w:r>
      <w:r w:rsidR="009A444E">
        <w:t xml:space="preserve">and </w:t>
      </w:r>
      <w:r>
        <w:t>for all</w:t>
      </w:r>
      <w:r w:rsidR="009341E1">
        <w:t xml:space="preserve"> states</w:t>
      </w:r>
      <w:r w:rsidR="00D443CC">
        <w:t xml:space="preserve"> and DC</w:t>
      </w:r>
      <w:r>
        <w:t xml:space="preserve">. </w:t>
      </w:r>
      <w:r w:rsidR="009A444E">
        <w:t xml:space="preserve">The total </w:t>
      </w:r>
      <w:r w:rsidR="009341E1">
        <w:t xml:space="preserve">number of </w:t>
      </w:r>
      <w:r w:rsidR="00E43EE5">
        <w:t xml:space="preserve">health center </w:t>
      </w:r>
      <w:r w:rsidR="009A444E">
        <w:t xml:space="preserve">patients </w:t>
      </w:r>
      <w:r w:rsidR="009341E1">
        <w:t xml:space="preserve">nationally who can be </w:t>
      </w:r>
      <w:r w:rsidR="009A444E">
        <w:t xml:space="preserve">expected to gain insurance coverage is just under 1.34 million, or approximately 22 percent of the 6.2 million patients </w:t>
      </w:r>
      <w:r w:rsidR="009C6393">
        <w:t xml:space="preserve">who were uninsured in 2020. We project that </w:t>
      </w:r>
      <w:r w:rsidR="009341E1">
        <w:t xml:space="preserve">more than </w:t>
      </w:r>
      <w:r w:rsidR="009A444E">
        <w:t xml:space="preserve">half (55 percent) of </w:t>
      </w:r>
      <w:r w:rsidR="009341E1">
        <w:t xml:space="preserve">all community health center </w:t>
      </w:r>
      <w:r w:rsidR="009A444E">
        <w:t>patients expected</w:t>
      </w:r>
      <w:r w:rsidR="009C6393">
        <w:t xml:space="preserve"> to gain insurance coverage under BBB reside in the 12 </w:t>
      </w:r>
      <w:r w:rsidR="009A444E">
        <w:t xml:space="preserve">non-expansion states. </w:t>
      </w:r>
    </w:p>
    <w:p w14:paraId="5148F3D9" w14:textId="52F29BB1" w:rsidR="00363AF3" w:rsidRPr="009A444E" w:rsidRDefault="00363AF3" w:rsidP="005565B7">
      <w:pPr>
        <w:jc w:val="both"/>
      </w:pPr>
      <w:r w:rsidRPr="00363AF3">
        <w:rPr>
          <w:b/>
        </w:rPr>
        <w:t>Table 1: Estimated insurance gains at community health centers based on BBB reforms</w:t>
      </w:r>
      <w:r w:rsidR="00033265">
        <w:rPr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1710"/>
        <w:gridCol w:w="1530"/>
        <w:gridCol w:w="1615"/>
      </w:tblGrid>
      <w:tr w:rsidR="00363AF3" w:rsidRPr="00363AF3" w14:paraId="4C56E194" w14:textId="77777777" w:rsidTr="009A444E">
        <w:trPr>
          <w:trHeight w:val="615"/>
          <w:tblHeader/>
        </w:trPr>
        <w:tc>
          <w:tcPr>
            <w:tcW w:w="2965" w:type="dxa"/>
            <w:noWrap/>
            <w:hideMark/>
          </w:tcPr>
          <w:p w14:paraId="76BF999B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State</w:t>
            </w:r>
          </w:p>
        </w:tc>
        <w:tc>
          <w:tcPr>
            <w:tcW w:w="1530" w:type="dxa"/>
            <w:hideMark/>
          </w:tcPr>
          <w:p w14:paraId="2F74BDFB" w14:textId="53C90E50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Estimated reduction</w:t>
            </w:r>
            <w:r w:rsidR="000F6369">
              <w:rPr>
                <w:b/>
                <w:bCs/>
              </w:rPr>
              <w:t xml:space="preserve"> </w:t>
            </w:r>
            <w:r w:rsidRPr="00363AF3">
              <w:rPr>
                <w:b/>
                <w:bCs/>
              </w:rPr>
              <w:t>in the uninsured population</w:t>
            </w:r>
          </w:p>
        </w:tc>
        <w:tc>
          <w:tcPr>
            <w:tcW w:w="1710" w:type="dxa"/>
            <w:hideMark/>
          </w:tcPr>
          <w:p w14:paraId="2CA9049A" w14:textId="48185D8D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 xml:space="preserve">Uninsured </w:t>
            </w:r>
            <w:r w:rsidR="00D443CC">
              <w:rPr>
                <w:b/>
                <w:bCs/>
              </w:rPr>
              <w:t xml:space="preserve">community </w:t>
            </w:r>
            <w:r w:rsidRPr="00363AF3">
              <w:rPr>
                <w:b/>
                <w:bCs/>
              </w:rPr>
              <w:t>health center patients (2020)</w:t>
            </w:r>
          </w:p>
        </w:tc>
        <w:tc>
          <w:tcPr>
            <w:tcW w:w="1530" w:type="dxa"/>
            <w:hideMark/>
          </w:tcPr>
          <w:p w14:paraId="6B22472F" w14:textId="2B69C082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 xml:space="preserve">Estimated </w:t>
            </w:r>
            <w:r w:rsidR="00E43EE5">
              <w:rPr>
                <w:b/>
                <w:bCs/>
              </w:rPr>
              <w:t xml:space="preserve">CHC </w:t>
            </w:r>
            <w:r w:rsidRPr="00363AF3">
              <w:rPr>
                <w:b/>
                <w:bCs/>
              </w:rPr>
              <w:t>patients who would gain coverage</w:t>
            </w:r>
          </w:p>
        </w:tc>
        <w:tc>
          <w:tcPr>
            <w:tcW w:w="1615" w:type="dxa"/>
            <w:hideMark/>
          </w:tcPr>
          <w:p w14:paraId="1D11BB9B" w14:textId="14AE65A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 xml:space="preserve">Share of total </w:t>
            </w:r>
            <w:r w:rsidR="00E43EE5">
              <w:rPr>
                <w:b/>
                <w:bCs/>
              </w:rPr>
              <w:t xml:space="preserve">CHC </w:t>
            </w:r>
            <w:r w:rsidRPr="00363AF3">
              <w:rPr>
                <w:b/>
                <w:bCs/>
              </w:rPr>
              <w:t>patients who would gain coverage</w:t>
            </w:r>
          </w:p>
        </w:tc>
      </w:tr>
      <w:tr w:rsidR="00363AF3" w:rsidRPr="00363AF3" w14:paraId="594EF1C2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C18D46A" w14:textId="77777777" w:rsidR="00363AF3" w:rsidRPr="00363AF3" w:rsidRDefault="00363AF3" w:rsidP="005565B7">
            <w:pPr>
              <w:jc w:val="both"/>
            </w:pPr>
            <w:r w:rsidRPr="00363AF3">
              <w:t>Alabama</w:t>
            </w:r>
          </w:p>
        </w:tc>
        <w:tc>
          <w:tcPr>
            <w:tcW w:w="1530" w:type="dxa"/>
            <w:noWrap/>
            <w:hideMark/>
          </w:tcPr>
          <w:p w14:paraId="1F99C4B2" w14:textId="77777777" w:rsidR="00363AF3" w:rsidRPr="00363AF3" w:rsidRDefault="00363AF3" w:rsidP="005565B7">
            <w:pPr>
              <w:jc w:val="both"/>
            </w:pPr>
            <w:r w:rsidRPr="00363AF3">
              <w:t>-43.8%</w:t>
            </w:r>
          </w:p>
        </w:tc>
        <w:tc>
          <w:tcPr>
            <w:tcW w:w="1710" w:type="dxa"/>
            <w:noWrap/>
            <w:hideMark/>
          </w:tcPr>
          <w:p w14:paraId="691BA080" w14:textId="77777777" w:rsidR="00363AF3" w:rsidRPr="00363AF3" w:rsidRDefault="00363AF3" w:rsidP="005565B7">
            <w:pPr>
              <w:jc w:val="both"/>
            </w:pPr>
            <w:r w:rsidRPr="00363AF3">
              <w:t>115,189</w:t>
            </w:r>
          </w:p>
        </w:tc>
        <w:tc>
          <w:tcPr>
            <w:tcW w:w="1530" w:type="dxa"/>
            <w:noWrap/>
            <w:hideMark/>
          </w:tcPr>
          <w:p w14:paraId="63E94569" w14:textId="77777777" w:rsidR="00363AF3" w:rsidRPr="00363AF3" w:rsidRDefault="00363AF3" w:rsidP="005565B7">
            <w:pPr>
              <w:jc w:val="both"/>
            </w:pPr>
            <w:r w:rsidRPr="00363AF3">
              <w:t>50,453</w:t>
            </w:r>
          </w:p>
        </w:tc>
        <w:tc>
          <w:tcPr>
            <w:tcW w:w="1615" w:type="dxa"/>
            <w:noWrap/>
            <w:hideMark/>
          </w:tcPr>
          <w:p w14:paraId="0718B11A" w14:textId="77777777" w:rsidR="00363AF3" w:rsidRPr="00363AF3" w:rsidRDefault="00363AF3" w:rsidP="005565B7">
            <w:pPr>
              <w:jc w:val="both"/>
            </w:pPr>
            <w:r w:rsidRPr="00363AF3">
              <w:t>4%</w:t>
            </w:r>
          </w:p>
        </w:tc>
      </w:tr>
      <w:tr w:rsidR="00363AF3" w:rsidRPr="00363AF3" w14:paraId="564EA87A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49D8BF9" w14:textId="77777777" w:rsidR="00363AF3" w:rsidRPr="00363AF3" w:rsidRDefault="00363AF3" w:rsidP="005565B7">
            <w:pPr>
              <w:jc w:val="both"/>
            </w:pPr>
            <w:r w:rsidRPr="00363AF3">
              <w:lastRenderedPageBreak/>
              <w:t>Florida</w:t>
            </w:r>
          </w:p>
        </w:tc>
        <w:tc>
          <w:tcPr>
            <w:tcW w:w="1530" w:type="dxa"/>
            <w:noWrap/>
            <w:hideMark/>
          </w:tcPr>
          <w:p w14:paraId="6B0FA9E5" w14:textId="77777777" w:rsidR="00363AF3" w:rsidRPr="00363AF3" w:rsidRDefault="00363AF3" w:rsidP="005565B7">
            <w:pPr>
              <w:jc w:val="both"/>
            </w:pPr>
            <w:r w:rsidRPr="00363AF3">
              <w:t>-18.7%</w:t>
            </w:r>
          </w:p>
        </w:tc>
        <w:tc>
          <w:tcPr>
            <w:tcW w:w="1710" w:type="dxa"/>
            <w:noWrap/>
            <w:hideMark/>
          </w:tcPr>
          <w:p w14:paraId="52F5993F" w14:textId="77777777" w:rsidR="00363AF3" w:rsidRPr="00363AF3" w:rsidRDefault="00363AF3" w:rsidP="005565B7">
            <w:pPr>
              <w:jc w:val="both"/>
            </w:pPr>
            <w:r w:rsidRPr="00363AF3">
              <w:t>502,350</w:t>
            </w:r>
          </w:p>
        </w:tc>
        <w:tc>
          <w:tcPr>
            <w:tcW w:w="1530" w:type="dxa"/>
            <w:noWrap/>
            <w:hideMark/>
          </w:tcPr>
          <w:p w14:paraId="3304E4D2" w14:textId="77777777" w:rsidR="00363AF3" w:rsidRPr="00363AF3" w:rsidRDefault="00363AF3" w:rsidP="005565B7">
            <w:pPr>
              <w:jc w:val="both"/>
            </w:pPr>
            <w:r w:rsidRPr="00363AF3">
              <w:t>148,193</w:t>
            </w:r>
          </w:p>
        </w:tc>
        <w:tc>
          <w:tcPr>
            <w:tcW w:w="1615" w:type="dxa"/>
            <w:noWrap/>
            <w:hideMark/>
          </w:tcPr>
          <w:p w14:paraId="5DCB2B72" w14:textId="77777777" w:rsidR="00363AF3" w:rsidRPr="00363AF3" w:rsidRDefault="00363AF3" w:rsidP="005565B7">
            <w:pPr>
              <w:jc w:val="both"/>
            </w:pPr>
            <w:r w:rsidRPr="00363AF3">
              <w:t>11%</w:t>
            </w:r>
          </w:p>
        </w:tc>
      </w:tr>
      <w:tr w:rsidR="00363AF3" w:rsidRPr="00363AF3" w14:paraId="673772A7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2A23806" w14:textId="77777777" w:rsidR="00363AF3" w:rsidRPr="00363AF3" w:rsidRDefault="00363AF3" w:rsidP="005565B7">
            <w:pPr>
              <w:jc w:val="both"/>
            </w:pPr>
            <w:r w:rsidRPr="00363AF3">
              <w:t>Georgia</w:t>
            </w:r>
          </w:p>
        </w:tc>
        <w:tc>
          <w:tcPr>
            <w:tcW w:w="1530" w:type="dxa"/>
            <w:noWrap/>
            <w:hideMark/>
          </w:tcPr>
          <w:p w14:paraId="444C00A4" w14:textId="77777777" w:rsidR="00363AF3" w:rsidRPr="00363AF3" w:rsidRDefault="00363AF3" w:rsidP="005565B7">
            <w:pPr>
              <w:jc w:val="both"/>
            </w:pPr>
            <w:r w:rsidRPr="00363AF3">
              <w:t>-21.0%</w:t>
            </w:r>
          </w:p>
        </w:tc>
        <w:tc>
          <w:tcPr>
            <w:tcW w:w="1710" w:type="dxa"/>
            <w:noWrap/>
            <w:hideMark/>
          </w:tcPr>
          <w:p w14:paraId="32C171D7" w14:textId="77777777" w:rsidR="00363AF3" w:rsidRPr="00363AF3" w:rsidRDefault="00363AF3" w:rsidP="005565B7">
            <w:pPr>
              <w:jc w:val="both"/>
            </w:pPr>
            <w:r w:rsidRPr="00363AF3">
              <w:t>194,346</w:t>
            </w:r>
          </w:p>
        </w:tc>
        <w:tc>
          <w:tcPr>
            <w:tcW w:w="1530" w:type="dxa"/>
            <w:noWrap/>
            <w:hideMark/>
          </w:tcPr>
          <w:p w14:paraId="42390BEA" w14:textId="77777777" w:rsidR="00363AF3" w:rsidRPr="00363AF3" w:rsidRDefault="00363AF3" w:rsidP="005565B7">
            <w:pPr>
              <w:jc w:val="both"/>
            </w:pPr>
            <w:r w:rsidRPr="00363AF3">
              <w:t>75,989</w:t>
            </w:r>
          </w:p>
        </w:tc>
        <w:tc>
          <w:tcPr>
            <w:tcW w:w="1615" w:type="dxa"/>
            <w:noWrap/>
            <w:hideMark/>
          </w:tcPr>
          <w:p w14:paraId="218ADC70" w14:textId="77777777" w:rsidR="00363AF3" w:rsidRPr="00363AF3" w:rsidRDefault="00363AF3" w:rsidP="005565B7">
            <w:pPr>
              <w:jc w:val="both"/>
            </w:pPr>
            <w:r w:rsidRPr="00363AF3">
              <w:t>6%</w:t>
            </w:r>
          </w:p>
        </w:tc>
      </w:tr>
      <w:tr w:rsidR="00363AF3" w:rsidRPr="00363AF3" w14:paraId="2A0969F9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553652D3" w14:textId="77777777" w:rsidR="00363AF3" w:rsidRPr="00363AF3" w:rsidRDefault="00363AF3" w:rsidP="005565B7">
            <w:pPr>
              <w:jc w:val="both"/>
            </w:pPr>
            <w:r w:rsidRPr="00363AF3">
              <w:t>Kansas</w:t>
            </w:r>
          </w:p>
        </w:tc>
        <w:tc>
          <w:tcPr>
            <w:tcW w:w="1530" w:type="dxa"/>
            <w:noWrap/>
            <w:hideMark/>
          </w:tcPr>
          <w:p w14:paraId="2014408C" w14:textId="77777777" w:rsidR="00363AF3" w:rsidRPr="00363AF3" w:rsidRDefault="00363AF3" w:rsidP="005565B7">
            <w:pPr>
              <w:jc w:val="both"/>
            </w:pPr>
            <w:r w:rsidRPr="00363AF3">
              <w:t>-23.1%</w:t>
            </w:r>
          </w:p>
        </w:tc>
        <w:tc>
          <w:tcPr>
            <w:tcW w:w="1710" w:type="dxa"/>
            <w:noWrap/>
            <w:hideMark/>
          </w:tcPr>
          <w:p w14:paraId="43FCF0CF" w14:textId="77777777" w:rsidR="00363AF3" w:rsidRPr="00363AF3" w:rsidRDefault="00363AF3" w:rsidP="005565B7">
            <w:pPr>
              <w:jc w:val="both"/>
            </w:pPr>
            <w:r w:rsidRPr="00363AF3">
              <w:t>74,284</w:t>
            </w:r>
          </w:p>
        </w:tc>
        <w:tc>
          <w:tcPr>
            <w:tcW w:w="1530" w:type="dxa"/>
            <w:noWrap/>
            <w:hideMark/>
          </w:tcPr>
          <w:p w14:paraId="59AF06A5" w14:textId="77777777" w:rsidR="00363AF3" w:rsidRPr="00363AF3" w:rsidRDefault="00363AF3" w:rsidP="005565B7">
            <w:pPr>
              <w:jc w:val="both"/>
            </w:pPr>
            <w:r w:rsidRPr="00363AF3">
              <w:t>22,805</w:t>
            </w:r>
          </w:p>
        </w:tc>
        <w:tc>
          <w:tcPr>
            <w:tcW w:w="1615" w:type="dxa"/>
            <w:noWrap/>
            <w:hideMark/>
          </w:tcPr>
          <w:p w14:paraId="2A9ED2CA" w14:textId="77777777" w:rsidR="00363AF3" w:rsidRPr="00363AF3" w:rsidRDefault="00363AF3" w:rsidP="005565B7">
            <w:pPr>
              <w:jc w:val="both"/>
            </w:pPr>
            <w:r w:rsidRPr="00363AF3">
              <w:t>2%</w:t>
            </w:r>
          </w:p>
        </w:tc>
      </w:tr>
      <w:tr w:rsidR="00363AF3" w:rsidRPr="00363AF3" w14:paraId="51A9205B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6334016" w14:textId="77777777" w:rsidR="00363AF3" w:rsidRPr="00363AF3" w:rsidRDefault="00363AF3" w:rsidP="005565B7">
            <w:pPr>
              <w:jc w:val="both"/>
            </w:pPr>
            <w:r w:rsidRPr="00363AF3">
              <w:t>Mississippi</w:t>
            </w:r>
          </w:p>
        </w:tc>
        <w:tc>
          <w:tcPr>
            <w:tcW w:w="1530" w:type="dxa"/>
            <w:noWrap/>
            <w:hideMark/>
          </w:tcPr>
          <w:p w14:paraId="372E6289" w14:textId="77777777" w:rsidR="00363AF3" w:rsidRPr="00363AF3" w:rsidRDefault="00363AF3" w:rsidP="005565B7">
            <w:pPr>
              <w:jc w:val="both"/>
            </w:pPr>
            <w:r w:rsidRPr="00363AF3">
              <w:t>-11.4%</w:t>
            </w:r>
          </w:p>
        </w:tc>
        <w:tc>
          <w:tcPr>
            <w:tcW w:w="1710" w:type="dxa"/>
            <w:noWrap/>
            <w:hideMark/>
          </w:tcPr>
          <w:p w14:paraId="0986F3BF" w14:textId="77777777" w:rsidR="00363AF3" w:rsidRPr="00363AF3" w:rsidRDefault="00363AF3" w:rsidP="005565B7">
            <w:pPr>
              <w:jc w:val="both"/>
            </w:pPr>
            <w:r w:rsidRPr="00363AF3">
              <w:t>110,021</w:t>
            </w:r>
          </w:p>
        </w:tc>
        <w:tc>
          <w:tcPr>
            <w:tcW w:w="1530" w:type="dxa"/>
            <w:noWrap/>
            <w:hideMark/>
          </w:tcPr>
          <w:p w14:paraId="19418EED" w14:textId="77777777" w:rsidR="00363AF3" w:rsidRPr="00363AF3" w:rsidRDefault="00363AF3" w:rsidP="005565B7">
            <w:pPr>
              <w:jc w:val="both"/>
            </w:pPr>
            <w:r w:rsidRPr="00363AF3">
              <w:t>47,089</w:t>
            </w:r>
          </w:p>
        </w:tc>
        <w:tc>
          <w:tcPr>
            <w:tcW w:w="1615" w:type="dxa"/>
            <w:noWrap/>
            <w:hideMark/>
          </w:tcPr>
          <w:p w14:paraId="0314D7D8" w14:textId="77777777" w:rsidR="00363AF3" w:rsidRPr="00363AF3" w:rsidRDefault="00363AF3" w:rsidP="005565B7">
            <w:pPr>
              <w:jc w:val="both"/>
            </w:pPr>
            <w:r w:rsidRPr="00363AF3">
              <w:t>4%</w:t>
            </w:r>
          </w:p>
        </w:tc>
      </w:tr>
      <w:tr w:rsidR="00363AF3" w:rsidRPr="00363AF3" w14:paraId="78DB383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604B2750" w14:textId="77777777" w:rsidR="00363AF3" w:rsidRPr="00363AF3" w:rsidRDefault="00363AF3" w:rsidP="005565B7">
            <w:pPr>
              <w:jc w:val="both"/>
            </w:pPr>
            <w:r w:rsidRPr="00363AF3">
              <w:t>North Carolina</w:t>
            </w:r>
          </w:p>
        </w:tc>
        <w:tc>
          <w:tcPr>
            <w:tcW w:w="1530" w:type="dxa"/>
            <w:noWrap/>
            <w:hideMark/>
          </w:tcPr>
          <w:p w14:paraId="3E301A41" w14:textId="77777777" w:rsidR="00363AF3" w:rsidRPr="00363AF3" w:rsidRDefault="00363AF3" w:rsidP="005565B7">
            <w:pPr>
              <w:jc w:val="both"/>
            </w:pPr>
            <w:r w:rsidRPr="00363AF3">
              <w:t>-18.1%</w:t>
            </w:r>
          </w:p>
        </w:tc>
        <w:tc>
          <w:tcPr>
            <w:tcW w:w="1710" w:type="dxa"/>
            <w:noWrap/>
            <w:hideMark/>
          </w:tcPr>
          <w:p w14:paraId="566C028F" w14:textId="77777777" w:rsidR="00363AF3" w:rsidRPr="00363AF3" w:rsidRDefault="00363AF3" w:rsidP="005565B7">
            <w:pPr>
              <w:jc w:val="both"/>
            </w:pPr>
            <w:r w:rsidRPr="00363AF3">
              <w:t>267,274</w:t>
            </w:r>
          </w:p>
        </w:tc>
        <w:tc>
          <w:tcPr>
            <w:tcW w:w="1530" w:type="dxa"/>
            <w:noWrap/>
            <w:hideMark/>
          </w:tcPr>
          <w:p w14:paraId="08AB04B7" w14:textId="77777777" w:rsidR="00363AF3" w:rsidRPr="00363AF3" w:rsidRDefault="00363AF3" w:rsidP="005565B7">
            <w:pPr>
              <w:jc w:val="both"/>
            </w:pPr>
            <w:r w:rsidRPr="00363AF3">
              <w:t>87,933</w:t>
            </w:r>
          </w:p>
        </w:tc>
        <w:tc>
          <w:tcPr>
            <w:tcW w:w="1615" w:type="dxa"/>
            <w:noWrap/>
            <w:hideMark/>
          </w:tcPr>
          <w:p w14:paraId="23E08F03" w14:textId="77777777" w:rsidR="00363AF3" w:rsidRPr="00363AF3" w:rsidRDefault="00363AF3" w:rsidP="005565B7">
            <w:pPr>
              <w:jc w:val="both"/>
            </w:pPr>
            <w:r w:rsidRPr="00363AF3">
              <w:t>7%</w:t>
            </w:r>
          </w:p>
        </w:tc>
      </w:tr>
      <w:tr w:rsidR="00363AF3" w:rsidRPr="00363AF3" w14:paraId="7D1B44F0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0D084C75" w14:textId="77777777" w:rsidR="00363AF3" w:rsidRPr="00363AF3" w:rsidRDefault="00363AF3" w:rsidP="005565B7">
            <w:pPr>
              <w:jc w:val="both"/>
            </w:pPr>
            <w:r w:rsidRPr="00363AF3">
              <w:t>South Carolina</w:t>
            </w:r>
          </w:p>
        </w:tc>
        <w:tc>
          <w:tcPr>
            <w:tcW w:w="1530" w:type="dxa"/>
            <w:noWrap/>
            <w:hideMark/>
          </w:tcPr>
          <w:p w14:paraId="1269DA15" w14:textId="77777777" w:rsidR="00363AF3" w:rsidRPr="00363AF3" w:rsidRDefault="00363AF3" w:rsidP="005565B7">
            <w:pPr>
              <w:jc w:val="both"/>
            </w:pPr>
            <w:r w:rsidRPr="00363AF3">
              <w:t>-12.7%</w:t>
            </w:r>
          </w:p>
        </w:tc>
        <w:tc>
          <w:tcPr>
            <w:tcW w:w="1710" w:type="dxa"/>
            <w:noWrap/>
            <w:hideMark/>
          </w:tcPr>
          <w:p w14:paraId="01E0063D" w14:textId="77777777" w:rsidR="00363AF3" w:rsidRPr="00363AF3" w:rsidRDefault="00363AF3" w:rsidP="005565B7">
            <w:pPr>
              <w:jc w:val="both"/>
            </w:pPr>
            <w:r w:rsidRPr="00363AF3">
              <w:t>116,970</w:t>
            </w:r>
          </w:p>
        </w:tc>
        <w:tc>
          <w:tcPr>
            <w:tcW w:w="1530" w:type="dxa"/>
            <w:noWrap/>
            <w:hideMark/>
          </w:tcPr>
          <w:p w14:paraId="0A5C04E4" w14:textId="77777777" w:rsidR="00363AF3" w:rsidRPr="00363AF3" w:rsidRDefault="00363AF3" w:rsidP="005565B7">
            <w:pPr>
              <w:jc w:val="both"/>
            </w:pPr>
            <w:r w:rsidRPr="00363AF3">
              <w:t>45,618</w:t>
            </w:r>
          </w:p>
        </w:tc>
        <w:tc>
          <w:tcPr>
            <w:tcW w:w="1615" w:type="dxa"/>
            <w:noWrap/>
            <w:hideMark/>
          </w:tcPr>
          <w:p w14:paraId="07345130" w14:textId="77777777" w:rsidR="00363AF3" w:rsidRPr="00363AF3" w:rsidRDefault="00363AF3" w:rsidP="005565B7">
            <w:pPr>
              <w:jc w:val="both"/>
            </w:pPr>
            <w:r w:rsidRPr="00363AF3">
              <w:t>3%</w:t>
            </w:r>
          </w:p>
        </w:tc>
      </w:tr>
      <w:tr w:rsidR="00363AF3" w:rsidRPr="00363AF3" w14:paraId="0109D048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A30AA12" w14:textId="77777777" w:rsidR="00363AF3" w:rsidRPr="00363AF3" w:rsidRDefault="00363AF3" w:rsidP="005565B7">
            <w:pPr>
              <w:jc w:val="both"/>
            </w:pPr>
            <w:r w:rsidRPr="00363AF3">
              <w:t>South Dakota</w:t>
            </w:r>
          </w:p>
        </w:tc>
        <w:tc>
          <w:tcPr>
            <w:tcW w:w="1530" w:type="dxa"/>
            <w:noWrap/>
            <w:hideMark/>
          </w:tcPr>
          <w:p w14:paraId="57F9434A" w14:textId="77777777" w:rsidR="00363AF3" w:rsidRPr="00363AF3" w:rsidRDefault="00363AF3" w:rsidP="005565B7">
            <w:pPr>
              <w:jc w:val="both"/>
            </w:pPr>
            <w:r w:rsidRPr="00363AF3">
              <w:t>-9.4%</w:t>
            </w:r>
          </w:p>
        </w:tc>
        <w:tc>
          <w:tcPr>
            <w:tcW w:w="1710" w:type="dxa"/>
            <w:noWrap/>
            <w:hideMark/>
          </w:tcPr>
          <w:p w14:paraId="1097440E" w14:textId="77777777" w:rsidR="00363AF3" w:rsidRPr="00363AF3" w:rsidRDefault="00363AF3" w:rsidP="005565B7">
            <w:pPr>
              <w:jc w:val="both"/>
            </w:pPr>
            <w:r w:rsidRPr="00363AF3">
              <w:t>17,005</w:t>
            </w:r>
          </w:p>
        </w:tc>
        <w:tc>
          <w:tcPr>
            <w:tcW w:w="1530" w:type="dxa"/>
            <w:noWrap/>
            <w:hideMark/>
          </w:tcPr>
          <w:p w14:paraId="161A7C38" w14:textId="77777777" w:rsidR="00363AF3" w:rsidRPr="00363AF3" w:rsidRDefault="00363AF3" w:rsidP="005565B7">
            <w:pPr>
              <w:jc w:val="both"/>
            </w:pPr>
            <w:r w:rsidRPr="00363AF3">
              <w:t>5,918</w:t>
            </w:r>
          </w:p>
        </w:tc>
        <w:tc>
          <w:tcPr>
            <w:tcW w:w="1615" w:type="dxa"/>
            <w:noWrap/>
            <w:hideMark/>
          </w:tcPr>
          <w:p w14:paraId="111C2D7D" w14:textId="77777777" w:rsidR="00363AF3" w:rsidRPr="00363AF3" w:rsidRDefault="00363AF3" w:rsidP="005565B7">
            <w:pPr>
              <w:jc w:val="both"/>
            </w:pPr>
            <w:r w:rsidRPr="00363AF3">
              <w:t>0.4%</w:t>
            </w:r>
          </w:p>
        </w:tc>
      </w:tr>
      <w:tr w:rsidR="00363AF3" w:rsidRPr="00363AF3" w14:paraId="4D679E24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708812A6" w14:textId="77777777" w:rsidR="00363AF3" w:rsidRPr="00363AF3" w:rsidRDefault="00363AF3" w:rsidP="005565B7">
            <w:pPr>
              <w:jc w:val="both"/>
            </w:pPr>
            <w:r w:rsidRPr="00363AF3">
              <w:t>Tennessee</w:t>
            </w:r>
          </w:p>
        </w:tc>
        <w:tc>
          <w:tcPr>
            <w:tcW w:w="1530" w:type="dxa"/>
            <w:noWrap/>
            <w:hideMark/>
          </w:tcPr>
          <w:p w14:paraId="2F4068DC" w14:textId="77777777" w:rsidR="00363AF3" w:rsidRPr="00363AF3" w:rsidRDefault="00363AF3" w:rsidP="005565B7">
            <w:pPr>
              <w:jc w:val="both"/>
            </w:pPr>
            <w:r w:rsidRPr="00363AF3">
              <w:t>-12.0%</w:t>
            </w:r>
          </w:p>
        </w:tc>
        <w:tc>
          <w:tcPr>
            <w:tcW w:w="1710" w:type="dxa"/>
            <w:noWrap/>
            <w:hideMark/>
          </w:tcPr>
          <w:p w14:paraId="55039D5B" w14:textId="77777777" w:rsidR="00363AF3" w:rsidRPr="00363AF3" w:rsidRDefault="00363AF3" w:rsidP="005565B7">
            <w:pPr>
              <w:jc w:val="both"/>
            </w:pPr>
            <w:r w:rsidRPr="00363AF3">
              <w:t>127,454</w:t>
            </w:r>
          </w:p>
        </w:tc>
        <w:tc>
          <w:tcPr>
            <w:tcW w:w="1530" w:type="dxa"/>
            <w:noWrap/>
            <w:hideMark/>
          </w:tcPr>
          <w:p w14:paraId="06B8994F" w14:textId="77777777" w:rsidR="00363AF3" w:rsidRPr="00363AF3" w:rsidRDefault="00363AF3" w:rsidP="005565B7">
            <w:pPr>
              <w:jc w:val="both"/>
            </w:pPr>
            <w:r w:rsidRPr="00363AF3">
              <w:t>50,344</w:t>
            </w:r>
          </w:p>
        </w:tc>
        <w:tc>
          <w:tcPr>
            <w:tcW w:w="1615" w:type="dxa"/>
            <w:noWrap/>
            <w:hideMark/>
          </w:tcPr>
          <w:p w14:paraId="72DE18BA" w14:textId="77777777" w:rsidR="00363AF3" w:rsidRPr="00363AF3" w:rsidRDefault="00363AF3" w:rsidP="005565B7">
            <w:pPr>
              <w:jc w:val="both"/>
            </w:pPr>
            <w:r w:rsidRPr="00363AF3">
              <w:t>4%</w:t>
            </w:r>
          </w:p>
        </w:tc>
      </w:tr>
      <w:tr w:rsidR="00363AF3" w:rsidRPr="00363AF3" w14:paraId="660387B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B2AAD9D" w14:textId="77777777" w:rsidR="00363AF3" w:rsidRPr="00363AF3" w:rsidRDefault="00363AF3" w:rsidP="005565B7">
            <w:pPr>
              <w:jc w:val="both"/>
            </w:pPr>
            <w:r w:rsidRPr="00363AF3">
              <w:t>Texas</w:t>
            </w:r>
          </w:p>
        </w:tc>
        <w:tc>
          <w:tcPr>
            <w:tcW w:w="1530" w:type="dxa"/>
            <w:noWrap/>
            <w:hideMark/>
          </w:tcPr>
          <w:p w14:paraId="4F530E0A" w14:textId="77777777" w:rsidR="00363AF3" w:rsidRPr="00363AF3" w:rsidRDefault="00363AF3" w:rsidP="005565B7">
            <w:pPr>
              <w:jc w:val="both"/>
            </w:pPr>
            <w:r w:rsidRPr="00363AF3">
              <w:t>-29.5%</w:t>
            </w:r>
          </w:p>
        </w:tc>
        <w:tc>
          <w:tcPr>
            <w:tcW w:w="1710" w:type="dxa"/>
            <w:noWrap/>
            <w:hideMark/>
          </w:tcPr>
          <w:p w14:paraId="404E83B4" w14:textId="77777777" w:rsidR="00363AF3" w:rsidRPr="00363AF3" w:rsidRDefault="00363AF3" w:rsidP="005565B7">
            <w:pPr>
              <w:jc w:val="both"/>
            </w:pPr>
            <w:r w:rsidRPr="00363AF3">
              <w:t>634,939</w:t>
            </w:r>
          </w:p>
        </w:tc>
        <w:tc>
          <w:tcPr>
            <w:tcW w:w="1530" w:type="dxa"/>
            <w:noWrap/>
            <w:hideMark/>
          </w:tcPr>
          <w:p w14:paraId="1F1F63B7" w14:textId="77777777" w:rsidR="00363AF3" w:rsidRPr="00363AF3" w:rsidRDefault="00363AF3" w:rsidP="005565B7">
            <w:pPr>
              <w:jc w:val="both"/>
            </w:pPr>
            <w:r w:rsidRPr="00363AF3">
              <w:t>197,466</w:t>
            </w:r>
          </w:p>
        </w:tc>
        <w:tc>
          <w:tcPr>
            <w:tcW w:w="1615" w:type="dxa"/>
            <w:noWrap/>
            <w:hideMark/>
          </w:tcPr>
          <w:p w14:paraId="1241165C" w14:textId="77777777" w:rsidR="00363AF3" w:rsidRPr="00363AF3" w:rsidRDefault="00363AF3" w:rsidP="005565B7">
            <w:pPr>
              <w:jc w:val="both"/>
            </w:pPr>
            <w:r w:rsidRPr="00363AF3">
              <w:t>15%</w:t>
            </w:r>
          </w:p>
        </w:tc>
      </w:tr>
      <w:tr w:rsidR="00363AF3" w:rsidRPr="00363AF3" w14:paraId="4E5F431E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07A251D" w14:textId="77777777" w:rsidR="00363AF3" w:rsidRPr="00363AF3" w:rsidRDefault="00363AF3" w:rsidP="005565B7">
            <w:pPr>
              <w:jc w:val="both"/>
            </w:pPr>
            <w:r w:rsidRPr="00363AF3">
              <w:t>Wisconsin</w:t>
            </w:r>
          </w:p>
        </w:tc>
        <w:tc>
          <w:tcPr>
            <w:tcW w:w="1530" w:type="dxa"/>
            <w:noWrap/>
            <w:hideMark/>
          </w:tcPr>
          <w:p w14:paraId="58EE94C3" w14:textId="77777777" w:rsidR="00363AF3" w:rsidRPr="00363AF3" w:rsidRDefault="00363AF3" w:rsidP="005565B7">
            <w:pPr>
              <w:jc w:val="both"/>
            </w:pPr>
            <w:r w:rsidRPr="00363AF3">
              <w:t>-39.1%</w:t>
            </w:r>
          </w:p>
        </w:tc>
        <w:tc>
          <w:tcPr>
            <w:tcW w:w="1710" w:type="dxa"/>
            <w:noWrap/>
            <w:hideMark/>
          </w:tcPr>
          <w:p w14:paraId="53CDE4C4" w14:textId="77777777" w:rsidR="00363AF3" w:rsidRPr="00363AF3" w:rsidRDefault="00363AF3" w:rsidP="005565B7">
            <w:pPr>
              <w:jc w:val="both"/>
            </w:pPr>
            <w:r w:rsidRPr="00363AF3">
              <w:t>46,813</w:t>
            </w:r>
          </w:p>
        </w:tc>
        <w:tc>
          <w:tcPr>
            <w:tcW w:w="1530" w:type="dxa"/>
            <w:noWrap/>
            <w:hideMark/>
          </w:tcPr>
          <w:p w14:paraId="1CCE0A92" w14:textId="77777777" w:rsidR="00363AF3" w:rsidRPr="00363AF3" w:rsidRDefault="00363AF3" w:rsidP="005565B7">
            <w:pPr>
              <w:jc w:val="both"/>
            </w:pPr>
            <w:r w:rsidRPr="00363AF3">
              <w:t>4,962</w:t>
            </w:r>
          </w:p>
        </w:tc>
        <w:tc>
          <w:tcPr>
            <w:tcW w:w="1615" w:type="dxa"/>
            <w:noWrap/>
            <w:hideMark/>
          </w:tcPr>
          <w:p w14:paraId="277854F0" w14:textId="77777777" w:rsidR="00363AF3" w:rsidRPr="00363AF3" w:rsidRDefault="00363AF3" w:rsidP="005565B7">
            <w:pPr>
              <w:jc w:val="both"/>
            </w:pPr>
            <w:r w:rsidRPr="00363AF3">
              <w:t>0.4%</w:t>
            </w:r>
          </w:p>
        </w:tc>
      </w:tr>
      <w:tr w:rsidR="00363AF3" w:rsidRPr="00363AF3" w14:paraId="207BA104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79EBE20" w14:textId="77777777" w:rsidR="00363AF3" w:rsidRPr="00363AF3" w:rsidRDefault="00363AF3" w:rsidP="005565B7">
            <w:pPr>
              <w:jc w:val="both"/>
            </w:pPr>
            <w:r w:rsidRPr="00363AF3">
              <w:t>Wyoming</w:t>
            </w:r>
          </w:p>
        </w:tc>
        <w:tc>
          <w:tcPr>
            <w:tcW w:w="1530" w:type="dxa"/>
            <w:noWrap/>
            <w:hideMark/>
          </w:tcPr>
          <w:p w14:paraId="5FF09E80" w14:textId="77777777" w:rsidR="00363AF3" w:rsidRPr="00363AF3" w:rsidRDefault="00363AF3" w:rsidP="005565B7">
            <w:pPr>
              <w:jc w:val="both"/>
            </w:pPr>
            <w:r w:rsidRPr="00363AF3">
              <w:t>-15.8%</w:t>
            </w:r>
          </w:p>
        </w:tc>
        <w:tc>
          <w:tcPr>
            <w:tcW w:w="1710" w:type="dxa"/>
            <w:noWrap/>
            <w:hideMark/>
          </w:tcPr>
          <w:p w14:paraId="2CFD7C47" w14:textId="77777777" w:rsidR="00363AF3" w:rsidRPr="00363AF3" w:rsidRDefault="00363AF3" w:rsidP="005565B7">
            <w:pPr>
              <w:jc w:val="both"/>
            </w:pPr>
            <w:r w:rsidRPr="00363AF3">
              <w:t>8,979</w:t>
            </w:r>
          </w:p>
        </w:tc>
        <w:tc>
          <w:tcPr>
            <w:tcW w:w="1530" w:type="dxa"/>
            <w:noWrap/>
            <w:hideMark/>
          </w:tcPr>
          <w:p w14:paraId="1395793A" w14:textId="77777777" w:rsidR="00363AF3" w:rsidRPr="00363AF3" w:rsidRDefault="00363AF3" w:rsidP="005565B7">
            <w:pPr>
              <w:jc w:val="both"/>
            </w:pPr>
            <w:r w:rsidRPr="00363AF3">
              <w:t>1,688</w:t>
            </w:r>
          </w:p>
        </w:tc>
        <w:tc>
          <w:tcPr>
            <w:tcW w:w="1615" w:type="dxa"/>
            <w:noWrap/>
            <w:hideMark/>
          </w:tcPr>
          <w:p w14:paraId="685859D8" w14:textId="77777777" w:rsidR="00363AF3" w:rsidRPr="00363AF3" w:rsidRDefault="00363AF3" w:rsidP="005565B7">
            <w:pPr>
              <w:jc w:val="both"/>
            </w:pPr>
            <w:r w:rsidRPr="00363AF3">
              <w:t>0.1%</w:t>
            </w:r>
          </w:p>
        </w:tc>
      </w:tr>
      <w:tr w:rsidR="00363AF3" w:rsidRPr="00363AF3" w14:paraId="0B106D96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1DCDF5C" w14:textId="77777777" w:rsidR="00363AF3" w:rsidRPr="00363AF3" w:rsidRDefault="009A444E" w:rsidP="0055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63AF3" w:rsidRPr="00363AF3">
              <w:rPr>
                <w:b/>
                <w:bCs/>
              </w:rPr>
              <w:t>on-expansion states</w:t>
            </w:r>
          </w:p>
        </w:tc>
        <w:tc>
          <w:tcPr>
            <w:tcW w:w="1530" w:type="dxa"/>
            <w:noWrap/>
            <w:hideMark/>
          </w:tcPr>
          <w:p w14:paraId="51719C25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14:paraId="0E801B79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2,215,624</w:t>
            </w:r>
          </w:p>
        </w:tc>
        <w:tc>
          <w:tcPr>
            <w:tcW w:w="1530" w:type="dxa"/>
            <w:noWrap/>
            <w:hideMark/>
          </w:tcPr>
          <w:p w14:paraId="63AAB73D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738,459</w:t>
            </w:r>
          </w:p>
        </w:tc>
        <w:tc>
          <w:tcPr>
            <w:tcW w:w="1615" w:type="dxa"/>
            <w:noWrap/>
            <w:hideMark/>
          </w:tcPr>
          <w:p w14:paraId="27448789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55%</w:t>
            </w:r>
          </w:p>
        </w:tc>
      </w:tr>
      <w:tr w:rsidR="00363AF3" w:rsidRPr="00363AF3" w14:paraId="15C6257E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048CCAA" w14:textId="77777777" w:rsidR="00363AF3" w:rsidRPr="00363AF3" w:rsidRDefault="00363AF3" w:rsidP="005565B7">
            <w:pPr>
              <w:jc w:val="both"/>
            </w:pPr>
            <w:r w:rsidRPr="00363AF3">
              <w:t>Alaska</w:t>
            </w:r>
          </w:p>
        </w:tc>
        <w:tc>
          <w:tcPr>
            <w:tcW w:w="1530" w:type="dxa"/>
            <w:noWrap/>
            <w:hideMark/>
          </w:tcPr>
          <w:p w14:paraId="53E05FF0" w14:textId="77777777" w:rsidR="00363AF3" w:rsidRPr="00363AF3" w:rsidRDefault="00363AF3" w:rsidP="005565B7">
            <w:pPr>
              <w:jc w:val="both"/>
            </w:pPr>
            <w:r w:rsidRPr="00363AF3">
              <w:t>-10.7%</w:t>
            </w:r>
          </w:p>
        </w:tc>
        <w:tc>
          <w:tcPr>
            <w:tcW w:w="1710" w:type="dxa"/>
            <w:noWrap/>
            <w:hideMark/>
          </w:tcPr>
          <w:p w14:paraId="61CD4D48" w14:textId="77777777" w:rsidR="00363AF3" w:rsidRPr="00363AF3" w:rsidRDefault="00363AF3" w:rsidP="005565B7">
            <w:pPr>
              <w:jc w:val="both"/>
            </w:pPr>
            <w:r w:rsidRPr="00363AF3">
              <w:t>18,969</w:t>
            </w:r>
          </w:p>
        </w:tc>
        <w:tc>
          <w:tcPr>
            <w:tcW w:w="1530" w:type="dxa"/>
            <w:noWrap/>
            <w:hideMark/>
          </w:tcPr>
          <w:p w14:paraId="1C1AADDB" w14:textId="77777777" w:rsidR="00363AF3" w:rsidRPr="00363AF3" w:rsidRDefault="00363AF3" w:rsidP="005565B7">
            <w:pPr>
              <w:jc w:val="both"/>
            </w:pPr>
            <w:r w:rsidRPr="00363AF3">
              <w:t>3,547</w:t>
            </w:r>
          </w:p>
        </w:tc>
        <w:tc>
          <w:tcPr>
            <w:tcW w:w="1615" w:type="dxa"/>
            <w:noWrap/>
            <w:hideMark/>
          </w:tcPr>
          <w:p w14:paraId="468C7736" w14:textId="77777777" w:rsidR="00363AF3" w:rsidRPr="00363AF3" w:rsidRDefault="00363AF3" w:rsidP="005565B7">
            <w:pPr>
              <w:jc w:val="both"/>
            </w:pPr>
            <w:r w:rsidRPr="00363AF3">
              <w:t>0.3%</w:t>
            </w:r>
          </w:p>
        </w:tc>
      </w:tr>
      <w:tr w:rsidR="00363AF3" w:rsidRPr="00363AF3" w14:paraId="6E8BA161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6D990233" w14:textId="77777777" w:rsidR="00363AF3" w:rsidRPr="00363AF3" w:rsidRDefault="00363AF3" w:rsidP="005565B7">
            <w:pPr>
              <w:jc w:val="both"/>
            </w:pPr>
            <w:r w:rsidRPr="00363AF3">
              <w:t>Arizona</w:t>
            </w:r>
          </w:p>
        </w:tc>
        <w:tc>
          <w:tcPr>
            <w:tcW w:w="1530" w:type="dxa"/>
            <w:noWrap/>
            <w:hideMark/>
          </w:tcPr>
          <w:p w14:paraId="21F65DE8" w14:textId="77777777" w:rsidR="00363AF3" w:rsidRPr="00363AF3" w:rsidRDefault="00363AF3" w:rsidP="005565B7">
            <w:pPr>
              <w:jc w:val="both"/>
            </w:pPr>
            <w:r w:rsidRPr="00363AF3">
              <w:t>-12.7%</w:t>
            </w:r>
          </w:p>
        </w:tc>
        <w:tc>
          <w:tcPr>
            <w:tcW w:w="1710" w:type="dxa"/>
            <w:noWrap/>
            <w:hideMark/>
          </w:tcPr>
          <w:p w14:paraId="037D5F08" w14:textId="77777777" w:rsidR="00363AF3" w:rsidRPr="00363AF3" w:rsidRDefault="00363AF3" w:rsidP="005565B7">
            <w:pPr>
              <w:jc w:val="both"/>
            </w:pPr>
            <w:r w:rsidRPr="00363AF3">
              <w:t>118,067</w:t>
            </w:r>
          </w:p>
        </w:tc>
        <w:tc>
          <w:tcPr>
            <w:tcW w:w="1530" w:type="dxa"/>
            <w:noWrap/>
            <w:hideMark/>
          </w:tcPr>
          <w:p w14:paraId="7BB36FE6" w14:textId="77777777" w:rsidR="00363AF3" w:rsidRPr="00363AF3" w:rsidRDefault="00363AF3" w:rsidP="005565B7">
            <w:pPr>
              <w:jc w:val="both"/>
            </w:pPr>
            <w:r w:rsidRPr="00363AF3">
              <w:t>24,794</w:t>
            </w:r>
          </w:p>
        </w:tc>
        <w:tc>
          <w:tcPr>
            <w:tcW w:w="1615" w:type="dxa"/>
            <w:noWrap/>
            <w:hideMark/>
          </w:tcPr>
          <w:p w14:paraId="2DD8BB06" w14:textId="77777777" w:rsidR="00363AF3" w:rsidRPr="00363AF3" w:rsidRDefault="00363AF3" w:rsidP="005565B7">
            <w:pPr>
              <w:jc w:val="both"/>
            </w:pPr>
            <w:r w:rsidRPr="00363AF3">
              <w:t>2%</w:t>
            </w:r>
          </w:p>
        </w:tc>
      </w:tr>
      <w:tr w:rsidR="00363AF3" w:rsidRPr="00363AF3" w14:paraId="61CFE3D3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7DBAFC06" w14:textId="77777777" w:rsidR="00363AF3" w:rsidRPr="00363AF3" w:rsidRDefault="00363AF3" w:rsidP="005565B7">
            <w:pPr>
              <w:jc w:val="both"/>
            </w:pPr>
            <w:r w:rsidRPr="00363AF3">
              <w:t>Arkansas</w:t>
            </w:r>
          </w:p>
        </w:tc>
        <w:tc>
          <w:tcPr>
            <w:tcW w:w="1530" w:type="dxa"/>
            <w:noWrap/>
            <w:hideMark/>
          </w:tcPr>
          <w:p w14:paraId="096360B4" w14:textId="77777777" w:rsidR="00363AF3" w:rsidRPr="00363AF3" w:rsidRDefault="00363AF3" w:rsidP="005565B7">
            <w:pPr>
              <w:jc w:val="both"/>
            </w:pPr>
            <w:r w:rsidRPr="00363AF3">
              <w:t>-21.3%</w:t>
            </w:r>
          </w:p>
        </w:tc>
        <w:tc>
          <w:tcPr>
            <w:tcW w:w="1710" w:type="dxa"/>
            <w:noWrap/>
            <w:hideMark/>
          </w:tcPr>
          <w:p w14:paraId="448189DF" w14:textId="77777777" w:rsidR="00363AF3" w:rsidRPr="00363AF3" w:rsidRDefault="00363AF3" w:rsidP="005565B7">
            <w:pPr>
              <w:jc w:val="both"/>
            </w:pPr>
            <w:r w:rsidRPr="00363AF3">
              <w:t>52,806</w:t>
            </w:r>
          </w:p>
        </w:tc>
        <w:tc>
          <w:tcPr>
            <w:tcW w:w="1530" w:type="dxa"/>
            <w:noWrap/>
            <w:hideMark/>
          </w:tcPr>
          <w:p w14:paraId="3892F77E" w14:textId="77777777" w:rsidR="00363AF3" w:rsidRPr="00363AF3" w:rsidRDefault="00363AF3" w:rsidP="005565B7">
            <w:pPr>
              <w:jc w:val="both"/>
            </w:pPr>
            <w:r w:rsidRPr="00363AF3">
              <w:t>12,198</w:t>
            </w:r>
          </w:p>
        </w:tc>
        <w:tc>
          <w:tcPr>
            <w:tcW w:w="1615" w:type="dxa"/>
            <w:noWrap/>
            <w:hideMark/>
          </w:tcPr>
          <w:p w14:paraId="792D818C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1B545A3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7F63FB2D" w14:textId="77777777" w:rsidR="00363AF3" w:rsidRPr="00363AF3" w:rsidRDefault="00363AF3" w:rsidP="005565B7">
            <w:pPr>
              <w:jc w:val="both"/>
            </w:pPr>
            <w:r w:rsidRPr="00363AF3">
              <w:t>California</w:t>
            </w:r>
          </w:p>
        </w:tc>
        <w:tc>
          <w:tcPr>
            <w:tcW w:w="1530" w:type="dxa"/>
            <w:noWrap/>
            <w:hideMark/>
          </w:tcPr>
          <w:p w14:paraId="39A7F245" w14:textId="77777777" w:rsidR="00363AF3" w:rsidRPr="00363AF3" w:rsidRDefault="00363AF3" w:rsidP="005565B7">
            <w:pPr>
              <w:jc w:val="both"/>
            </w:pPr>
            <w:r w:rsidRPr="00363AF3">
              <w:t>-20.0%</w:t>
            </w:r>
          </w:p>
        </w:tc>
        <w:tc>
          <w:tcPr>
            <w:tcW w:w="1710" w:type="dxa"/>
            <w:noWrap/>
            <w:hideMark/>
          </w:tcPr>
          <w:p w14:paraId="7B0623E5" w14:textId="77777777" w:rsidR="00363AF3" w:rsidRPr="00363AF3" w:rsidRDefault="00363AF3" w:rsidP="005565B7">
            <w:pPr>
              <w:jc w:val="both"/>
            </w:pPr>
            <w:r w:rsidRPr="00363AF3">
              <w:t>1,001,376</w:t>
            </w:r>
          </w:p>
        </w:tc>
        <w:tc>
          <w:tcPr>
            <w:tcW w:w="1530" w:type="dxa"/>
            <w:noWrap/>
            <w:hideMark/>
          </w:tcPr>
          <w:p w14:paraId="359BF86F" w14:textId="77777777" w:rsidR="00363AF3" w:rsidRPr="00363AF3" w:rsidRDefault="00363AF3" w:rsidP="005565B7">
            <w:pPr>
              <w:jc w:val="both"/>
            </w:pPr>
            <w:r w:rsidRPr="00363AF3">
              <w:t>114,157</w:t>
            </w:r>
          </w:p>
        </w:tc>
        <w:tc>
          <w:tcPr>
            <w:tcW w:w="1615" w:type="dxa"/>
            <w:noWrap/>
            <w:hideMark/>
          </w:tcPr>
          <w:p w14:paraId="3B96980F" w14:textId="77777777" w:rsidR="00363AF3" w:rsidRPr="00363AF3" w:rsidRDefault="00363AF3" w:rsidP="005565B7">
            <w:pPr>
              <w:jc w:val="both"/>
            </w:pPr>
            <w:r w:rsidRPr="00363AF3">
              <w:t>9%</w:t>
            </w:r>
          </w:p>
        </w:tc>
      </w:tr>
      <w:tr w:rsidR="00363AF3" w:rsidRPr="00363AF3" w14:paraId="43326ADA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0E15662B" w14:textId="77777777" w:rsidR="00363AF3" w:rsidRPr="00363AF3" w:rsidRDefault="00363AF3" w:rsidP="005565B7">
            <w:pPr>
              <w:jc w:val="both"/>
            </w:pPr>
            <w:r w:rsidRPr="00363AF3">
              <w:t>Colorado</w:t>
            </w:r>
          </w:p>
        </w:tc>
        <w:tc>
          <w:tcPr>
            <w:tcW w:w="1530" w:type="dxa"/>
            <w:noWrap/>
            <w:hideMark/>
          </w:tcPr>
          <w:p w14:paraId="65FD3AF6" w14:textId="77777777" w:rsidR="00363AF3" w:rsidRPr="00363AF3" w:rsidRDefault="00363AF3" w:rsidP="005565B7">
            <w:pPr>
              <w:jc w:val="both"/>
            </w:pPr>
            <w:r w:rsidRPr="00363AF3">
              <w:t>-30.7%</w:t>
            </w:r>
          </w:p>
        </w:tc>
        <w:tc>
          <w:tcPr>
            <w:tcW w:w="1710" w:type="dxa"/>
            <w:noWrap/>
            <w:hideMark/>
          </w:tcPr>
          <w:p w14:paraId="3ECBEA2D" w14:textId="77777777" w:rsidR="00363AF3" w:rsidRPr="00363AF3" w:rsidRDefault="00363AF3" w:rsidP="005565B7">
            <w:pPr>
              <w:jc w:val="both"/>
            </w:pPr>
            <w:r w:rsidRPr="00363AF3">
              <w:t>140,208</w:t>
            </w:r>
          </w:p>
        </w:tc>
        <w:tc>
          <w:tcPr>
            <w:tcW w:w="1530" w:type="dxa"/>
            <w:noWrap/>
            <w:hideMark/>
          </w:tcPr>
          <w:p w14:paraId="2FE38F06" w14:textId="77777777" w:rsidR="00363AF3" w:rsidRPr="00363AF3" w:rsidRDefault="00363AF3" w:rsidP="005565B7">
            <w:pPr>
              <w:jc w:val="both"/>
            </w:pPr>
            <w:r w:rsidRPr="00363AF3">
              <w:t>25,378</w:t>
            </w:r>
          </w:p>
        </w:tc>
        <w:tc>
          <w:tcPr>
            <w:tcW w:w="1615" w:type="dxa"/>
            <w:noWrap/>
            <w:hideMark/>
          </w:tcPr>
          <w:p w14:paraId="47F2A861" w14:textId="77777777" w:rsidR="00363AF3" w:rsidRPr="00363AF3" w:rsidRDefault="00363AF3" w:rsidP="005565B7">
            <w:pPr>
              <w:jc w:val="both"/>
            </w:pPr>
            <w:r w:rsidRPr="00363AF3">
              <w:t>2%</w:t>
            </w:r>
          </w:p>
        </w:tc>
      </w:tr>
      <w:tr w:rsidR="00363AF3" w:rsidRPr="00363AF3" w14:paraId="07B4E7D2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003A1054" w14:textId="77777777" w:rsidR="00363AF3" w:rsidRPr="00363AF3" w:rsidRDefault="00363AF3" w:rsidP="005565B7">
            <w:pPr>
              <w:jc w:val="both"/>
            </w:pPr>
            <w:r w:rsidRPr="00363AF3">
              <w:t>Connecticut</w:t>
            </w:r>
          </w:p>
        </w:tc>
        <w:tc>
          <w:tcPr>
            <w:tcW w:w="1530" w:type="dxa"/>
            <w:noWrap/>
            <w:hideMark/>
          </w:tcPr>
          <w:p w14:paraId="4E9125E8" w14:textId="77777777" w:rsidR="00363AF3" w:rsidRPr="00363AF3" w:rsidRDefault="00363AF3" w:rsidP="005565B7">
            <w:pPr>
              <w:jc w:val="both"/>
            </w:pPr>
            <w:r w:rsidRPr="00363AF3">
              <w:t>-20.8%</w:t>
            </w:r>
          </w:p>
        </w:tc>
        <w:tc>
          <w:tcPr>
            <w:tcW w:w="1710" w:type="dxa"/>
            <w:noWrap/>
            <w:hideMark/>
          </w:tcPr>
          <w:p w14:paraId="31680263" w14:textId="77777777" w:rsidR="00363AF3" w:rsidRPr="00363AF3" w:rsidRDefault="00363AF3" w:rsidP="005565B7">
            <w:pPr>
              <w:jc w:val="both"/>
            </w:pPr>
            <w:r w:rsidRPr="00363AF3">
              <w:t>66,328</w:t>
            </w:r>
          </w:p>
        </w:tc>
        <w:tc>
          <w:tcPr>
            <w:tcW w:w="1530" w:type="dxa"/>
            <w:noWrap/>
            <w:hideMark/>
          </w:tcPr>
          <w:p w14:paraId="7E304E4D" w14:textId="77777777" w:rsidR="00363AF3" w:rsidRPr="00363AF3" w:rsidRDefault="00363AF3" w:rsidP="005565B7">
            <w:pPr>
              <w:jc w:val="both"/>
            </w:pPr>
            <w:r w:rsidRPr="00363AF3">
              <w:t>8,424</w:t>
            </w:r>
          </w:p>
        </w:tc>
        <w:tc>
          <w:tcPr>
            <w:tcW w:w="1615" w:type="dxa"/>
            <w:noWrap/>
            <w:hideMark/>
          </w:tcPr>
          <w:p w14:paraId="1E38E4F9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6C486F54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22E2214" w14:textId="77777777" w:rsidR="00363AF3" w:rsidRPr="00363AF3" w:rsidRDefault="00363AF3" w:rsidP="005565B7">
            <w:pPr>
              <w:jc w:val="both"/>
            </w:pPr>
            <w:r w:rsidRPr="00363AF3">
              <w:t>Delaware</w:t>
            </w:r>
          </w:p>
        </w:tc>
        <w:tc>
          <w:tcPr>
            <w:tcW w:w="1530" w:type="dxa"/>
            <w:noWrap/>
            <w:hideMark/>
          </w:tcPr>
          <w:p w14:paraId="7EDE3B58" w14:textId="77777777" w:rsidR="00363AF3" w:rsidRPr="00363AF3" w:rsidRDefault="00363AF3" w:rsidP="005565B7">
            <w:pPr>
              <w:jc w:val="both"/>
            </w:pPr>
            <w:r w:rsidRPr="00363AF3">
              <w:t>-22.9%</w:t>
            </w:r>
          </w:p>
        </w:tc>
        <w:tc>
          <w:tcPr>
            <w:tcW w:w="1710" w:type="dxa"/>
            <w:noWrap/>
            <w:hideMark/>
          </w:tcPr>
          <w:p w14:paraId="2E979642" w14:textId="77777777" w:rsidR="00363AF3" w:rsidRPr="00363AF3" w:rsidRDefault="00363AF3" w:rsidP="005565B7">
            <w:pPr>
              <w:jc w:val="both"/>
            </w:pPr>
            <w:r w:rsidRPr="00363AF3">
              <w:t>12,692</w:t>
            </w:r>
          </w:p>
        </w:tc>
        <w:tc>
          <w:tcPr>
            <w:tcW w:w="1530" w:type="dxa"/>
            <w:noWrap/>
            <w:hideMark/>
          </w:tcPr>
          <w:p w14:paraId="086C1C0D" w14:textId="77777777" w:rsidR="00363AF3" w:rsidRPr="00363AF3" w:rsidRDefault="00363AF3" w:rsidP="005565B7">
            <w:pPr>
              <w:jc w:val="both"/>
            </w:pPr>
            <w:r w:rsidRPr="00363AF3">
              <w:t>1,193</w:t>
            </w:r>
          </w:p>
        </w:tc>
        <w:tc>
          <w:tcPr>
            <w:tcW w:w="1615" w:type="dxa"/>
            <w:noWrap/>
            <w:hideMark/>
          </w:tcPr>
          <w:p w14:paraId="367CC96F" w14:textId="77777777" w:rsidR="00363AF3" w:rsidRPr="00363AF3" w:rsidRDefault="00363AF3" w:rsidP="005565B7">
            <w:pPr>
              <w:jc w:val="both"/>
            </w:pPr>
            <w:r w:rsidRPr="00363AF3">
              <w:t>0.1%</w:t>
            </w:r>
          </w:p>
        </w:tc>
      </w:tr>
      <w:tr w:rsidR="00363AF3" w:rsidRPr="00363AF3" w14:paraId="4D64007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1E3D8B6" w14:textId="77777777" w:rsidR="00363AF3" w:rsidRPr="00363AF3" w:rsidRDefault="00363AF3" w:rsidP="005565B7">
            <w:pPr>
              <w:jc w:val="both"/>
            </w:pPr>
            <w:r w:rsidRPr="00363AF3">
              <w:t>District of Columbia</w:t>
            </w:r>
          </w:p>
        </w:tc>
        <w:tc>
          <w:tcPr>
            <w:tcW w:w="1530" w:type="dxa"/>
            <w:noWrap/>
            <w:hideMark/>
          </w:tcPr>
          <w:p w14:paraId="0CFD86E0" w14:textId="77777777" w:rsidR="00363AF3" w:rsidRPr="00363AF3" w:rsidRDefault="00363AF3" w:rsidP="005565B7">
            <w:pPr>
              <w:jc w:val="both"/>
            </w:pPr>
            <w:r w:rsidRPr="00363AF3">
              <w:t>-11.6%</w:t>
            </w:r>
          </w:p>
        </w:tc>
        <w:tc>
          <w:tcPr>
            <w:tcW w:w="1710" w:type="dxa"/>
            <w:noWrap/>
            <w:hideMark/>
          </w:tcPr>
          <w:p w14:paraId="752C0129" w14:textId="77777777" w:rsidR="00363AF3" w:rsidRPr="00363AF3" w:rsidRDefault="00363AF3" w:rsidP="005565B7">
            <w:pPr>
              <w:jc w:val="both"/>
            </w:pPr>
            <w:r w:rsidRPr="00363AF3">
              <w:t>29,419</w:t>
            </w:r>
          </w:p>
        </w:tc>
        <w:tc>
          <w:tcPr>
            <w:tcW w:w="1530" w:type="dxa"/>
            <w:noWrap/>
            <w:hideMark/>
          </w:tcPr>
          <w:p w14:paraId="34356E2B" w14:textId="77777777" w:rsidR="00363AF3" w:rsidRPr="00363AF3" w:rsidRDefault="00363AF3" w:rsidP="005565B7">
            <w:pPr>
              <w:jc w:val="both"/>
            </w:pPr>
            <w:r w:rsidRPr="00363AF3">
              <w:t>3,530</w:t>
            </w:r>
          </w:p>
        </w:tc>
        <w:tc>
          <w:tcPr>
            <w:tcW w:w="1615" w:type="dxa"/>
            <w:noWrap/>
            <w:hideMark/>
          </w:tcPr>
          <w:p w14:paraId="00D02D3C" w14:textId="77777777" w:rsidR="00363AF3" w:rsidRPr="00363AF3" w:rsidRDefault="00363AF3" w:rsidP="005565B7">
            <w:pPr>
              <w:jc w:val="both"/>
            </w:pPr>
            <w:r w:rsidRPr="00363AF3">
              <w:t>0.3%</w:t>
            </w:r>
          </w:p>
        </w:tc>
      </w:tr>
      <w:tr w:rsidR="00363AF3" w:rsidRPr="00363AF3" w14:paraId="1BD14C4E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072620C" w14:textId="77777777" w:rsidR="00363AF3" w:rsidRPr="00363AF3" w:rsidRDefault="00363AF3" w:rsidP="005565B7">
            <w:pPr>
              <w:jc w:val="both"/>
            </w:pPr>
            <w:r w:rsidRPr="00363AF3">
              <w:t>Hawaii</w:t>
            </w:r>
          </w:p>
        </w:tc>
        <w:tc>
          <w:tcPr>
            <w:tcW w:w="1530" w:type="dxa"/>
            <w:noWrap/>
            <w:hideMark/>
          </w:tcPr>
          <w:p w14:paraId="0F2827A0" w14:textId="77777777" w:rsidR="00363AF3" w:rsidRPr="00363AF3" w:rsidRDefault="00363AF3" w:rsidP="005565B7">
            <w:pPr>
              <w:jc w:val="both"/>
            </w:pPr>
            <w:r w:rsidRPr="00363AF3">
              <w:t>-8.0%</w:t>
            </w:r>
          </w:p>
        </w:tc>
        <w:tc>
          <w:tcPr>
            <w:tcW w:w="1710" w:type="dxa"/>
            <w:noWrap/>
            <w:hideMark/>
          </w:tcPr>
          <w:p w14:paraId="1284E09F" w14:textId="77777777" w:rsidR="00363AF3" w:rsidRPr="00363AF3" w:rsidRDefault="00363AF3" w:rsidP="005565B7">
            <w:pPr>
              <w:jc w:val="both"/>
            </w:pPr>
            <w:r w:rsidRPr="00363AF3">
              <w:t>17,760</w:t>
            </w:r>
          </w:p>
        </w:tc>
        <w:tc>
          <w:tcPr>
            <w:tcW w:w="1530" w:type="dxa"/>
            <w:noWrap/>
            <w:hideMark/>
          </w:tcPr>
          <w:p w14:paraId="0EA9EFC8" w14:textId="77777777" w:rsidR="00363AF3" w:rsidRPr="00363AF3" w:rsidRDefault="00363AF3" w:rsidP="005565B7">
            <w:pPr>
              <w:jc w:val="both"/>
            </w:pPr>
            <w:r w:rsidRPr="00363AF3">
              <w:t>2,806</w:t>
            </w:r>
          </w:p>
        </w:tc>
        <w:tc>
          <w:tcPr>
            <w:tcW w:w="1615" w:type="dxa"/>
            <w:noWrap/>
            <w:hideMark/>
          </w:tcPr>
          <w:p w14:paraId="28609217" w14:textId="77777777" w:rsidR="00363AF3" w:rsidRPr="00363AF3" w:rsidRDefault="00363AF3" w:rsidP="005565B7">
            <w:pPr>
              <w:jc w:val="both"/>
            </w:pPr>
            <w:r w:rsidRPr="00363AF3">
              <w:t>0.2%</w:t>
            </w:r>
          </w:p>
        </w:tc>
      </w:tr>
      <w:tr w:rsidR="00363AF3" w:rsidRPr="00363AF3" w14:paraId="2293FEBE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7691EE8" w14:textId="77777777" w:rsidR="00363AF3" w:rsidRPr="00363AF3" w:rsidRDefault="00363AF3" w:rsidP="005565B7">
            <w:pPr>
              <w:jc w:val="both"/>
            </w:pPr>
            <w:r w:rsidRPr="00363AF3">
              <w:t>Idaho</w:t>
            </w:r>
          </w:p>
        </w:tc>
        <w:tc>
          <w:tcPr>
            <w:tcW w:w="1530" w:type="dxa"/>
            <w:noWrap/>
            <w:hideMark/>
          </w:tcPr>
          <w:p w14:paraId="26D38A91" w14:textId="77777777" w:rsidR="00363AF3" w:rsidRPr="00363AF3" w:rsidRDefault="00363AF3" w:rsidP="005565B7">
            <w:pPr>
              <w:jc w:val="both"/>
            </w:pPr>
            <w:r w:rsidRPr="00363AF3">
              <w:t>-7.8%</w:t>
            </w:r>
          </w:p>
        </w:tc>
        <w:tc>
          <w:tcPr>
            <w:tcW w:w="1710" w:type="dxa"/>
            <w:noWrap/>
            <w:hideMark/>
          </w:tcPr>
          <w:p w14:paraId="1C779FD0" w14:textId="77777777" w:rsidR="00363AF3" w:rsidRPr="00363AF3" w:rsidRDefault="00363AF3" w:rsidP="005565B7">
            <w:pPr>
              <w:jc w:val="both"/>
            </w:pPr>
            <w:r w:rsidRPr="00363AF3">
              <w:t>45,840</w:t>
            </w:r>
          </w:p>
        </w:tc>
        <w:tc>
          <w:tcPr>
            <w:tcW w:w="1530" w:type="dxa"/>
            <w:noWrap/>
            <w:hideMark/>
          </w:tcPr>
          <w:p w14:paraId="343ABED0" w14:textId="77777777" w:rsidR="00363AF3" w:rsidRPr="00363AF3" w:rsidRDefault="00363AF3" w:rsidP="005565B7">
            <w:pPr>
              <w:jc w:val="both"/>
            </w:pPr>
            <w:r w:rsidRPr="00363AF3">
              <w:t>4,905</w:t>
            </w:r>
          </w:p>
        </w:tc>
        <w:tc>
          <w:tcPr>
            <w:tcW w:w="1615" w:type="dxa"/>
            <w:noWrap/>
            <w:hideMark/>
          </w:tcPr>
          <w:p w14:paraId="4CB6F9A5" w14:textId="77777777" w:rsidR="00363AF3" w:rsidRPr="00363AF3" w:rsidRDefault="00363AF3" w:rsidP="005565B7">
            <w:pPr>
              <w:jc w:val="both"/>
            </w:pPr>
            <w:r w:rsidRPr="00363AF3">
              <w:t>0.4%</w:t>
            </w:r>
          </w:p>
        </w:tc>
      </w:tr>
      <w:tr w:rsidR="00363AF3" w:rsidRPr="00363AF3" w14:paraId="59E7EB67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2A083A9" w14:textId="77777777" w:rsidR="00363AF3" w:rsidRPr="00363AF3" w:rsidRDefault="00363AF3" w:rsidP="005565B7">
            <w:pPr>
              <w:jc w:val="both"/>
            </w:pPr>
            <w:r w:rsidRPr="00363AF3">
              <w:t>Illinois</w:t>
            </w:r>
          </w:p>
        </w:tc>
        <w:tc>
          <w:tcPr>
            <w:tcW w:w="1530" w:type="dxa"/>
            <w:noWrap/>
            <w:hideMark/>
          </w:tcPr>
          <w:p w14:paraId="02E7AC8F" w14:textId="77777777" w:rsidR="00363AF3" w:rsidRPr="00363AF3" w:rsidRDefault="00363AF3" w:rsidP="005565B7">
            <w:pPr>
              <w:jc w:val="both"/>
            </w:pPr>
            <w:r w:rsidRPr="00363AF3">
              <w:t>-17.3%</w:t>
            </w:r>
          </w:p>
        </w:tc>
        <w:tc>
          <w:tcPr>
            <w:tcW w:w="1710" w:type="dxa"/>
            <w:noWrap/>
            <w:hideMark/>
          </w:tcPr>
          <w:p w14:paraId="0CD3AC57" w14:textId="77777777" w:rsidR="00363AF3" w:rsidRPr="00363AF3" w:rsidRDefault="00363AF3" w:rsidP="005565B7">
            <w:pPr>
              <w:jc w:val="both"/>
            </w:pPr>
            <w:r w:rsidRPr="00363AF3">
              <w:t>322,227</w:t>
            </w:r>
          </w:p>
        </w:tc>
        <w:tc>
          <w:tcPr>
            <w:tcW w:w="1530" w:type="dxa"/>
            <w:noWrap/>
            <w:hideMark/>
          </w:tcPr>
          <w:p w14:paraId="2F87368A" w14:textId="77777777" w:rsidR="00363AF3" w:rsidRPr="00363AF3" w:rsidRDefault="00363AF3" w:rsidP="005565B7">
            <w:pPr>
              <w:jc w:val="both"/>
            </w:pPr>
            <w:r w:rsidRPr="00363AF3">
              <w:t>40,923</w:t>
            </w:r>
          </w:p>
        </w:tc>
        <w:tc>
          <w:tcPr>
            <w:tcW w:w="1615" w:type="dxa"/>
            <w:noWrap/>
            <w:hideMark/>
          </w:tcPr>
          <w:p w14:paraId="714407B0" w14:textId="77777777" w:rsidR="00363AF3" w:rsidRPr="00363AF3" w:rsidRDefault="00363AF3" w:rsidP="005565B7">
            <w:pPr>
              <w:jc w:val="both"/>
            </w:pPr>
            <w:r w:rsidRPr="00363AF3">
              <w:t>3%</w:t>
            </w:r>
          </w:p>
        </w:tc>
      </w:tr>
      <w:tr w:rsidR="00363AF3" w:rsidRPr="00363AF3" w14:paraId="579C43A9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13EA569" w14:textId="77777777" w:rsidR="00363AF3" w:rsidRPr="00363AF3" w:rsidRDefault="00363AF3" w:rsidP="005565B7">
            <w:pPr>
              <w:jc w:val="both"/>
            </w:pPr>
            <w:r w:rsidRPr="00363AF3">
              <w:t>Indiana</w:t>
            </w:r>
          </w:p>
        </w:tc>
        <w:tc>
          <w:tcPr>
            <w:tcW w:w="1530" w:type="dxa"/>
            <w:noWrap/>
            <w:hideMark/>
          </w:tcPr>
          <w:p w14:paraId="4B5C8290" w14:textId="77777777" w:rsidR="00363AF3" w:rsidRPr="00363AF3" w:rsidRDefault="00363AF3" w:rsidP="005565B7">
            <w:pPr>
              <w:jc w:val="both"/>
            </w:pPr>
            <w:r w:rsidRPr="00363AF3">
              <w:t>-13.3%</w:t>
            </w:r>
          </w:p>
        </w:tc>
        <w:tc>
          <w:tcPr>
            <w:tcW w:w="1710" w:type="dxa"/>
            <w:noWrap/>
            <w:hideMark/>
          </w:tcPr>
          <w:p w14:paraId="3709AADA" w14:textId="77777777" w:rsidR="00363AF3" w:rsidRPr="00363AF3" w:rsidRDefault="00363AF3" w:rsidP="005565B7">
            <w:pPr>
              <w:jc w:val="both"/>
            </w:pPr>
            <w:r w:rsidRPr="00363AF3">
              <w:t>81,655</w:t>
            </w:r>
          </w:p>
        </w:tc>
        <w:tc>
          <w:tcPr>
            <w:tcW w:w="1530" w:type="dxa"/>
            <w:noWrap/>
            <w:hideMark/>
          </w:tcPr>
          <w:p w14:paraId="08EC2D30" w14:textId="77777777" w:rsidR="00363AF3" w:rsidRPr="00363AF3" w:rsidRDefault="00363AF3" w:rsidP="005565B7">
            <w:pPr>
              <w:jc w:val="both"/>
            </w:pPr>
            <w:r w:rsidRPr="00363AF3">
              <w:t>17,393</w:t>
            </w:r>
          </w:p>
        </w:tc>
        <w:tc>
          <w:tcPr>
            <w:tcW w:w="1615" w:type="dxa"/>
            <w:noWrap/>
            <w:hideMark/>
          </w:tcPr>
          <w:p w14:paraId="678E428F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5A8258D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0DC90D3" w14:textId="77777777" w:rsidR="00363AF3" w:rsidRPr="00363AF3" w:rsidRDefault="00363AF3" w:rsidP="005565B7">
            <w:pPr>
              <w:jc w:val="both"/>
            </w:pPr>
            <w:r w:rsidRPr="00363AF3">
              <w:t>Iowa</w:t>
            </w:r>
          </w:p>
        </w:tc>
        <w:tc>
          <w:tcPr>
            <w:tcW w:w="1530" w:type="dxa"/>
            <w:noWrap/>
            <w:hideMark/>
          </w:tcPr>
          <w:p w14:paraId="48ACADBE" w14:textId="77777777" w:rsidR="00363AF3" w:rsidRPr="00363AF3" w:rsidRDefault="00363AF3" w:rsidP="005565B7">
            <w:pPr>
              <w:jc w:val="both"/>
            </w:pPr>
            <w:r w:rsidRPr="00363AF3">
              <w:t>-42.8%</w:t>
            </w:r>
          </w:p>
        </w:tc>
        <w:tc>
          <w:tcPr>
            <w:tcW w:w="1710" w:type="dxa"/>
            <w:noWrap/>
            <w:hideMark/>
          </w:tcPr>
          <w:p w14:paraId="2392299E" w14:textId="77777777" w:rsidR="00363AF3" w:rsidRPr="00363AF3" w:rsidRDefault="00363AF3" w:rsidP="005565B7">
            <w:pPr>
              <w:jc w:val="both"/>
            </w:pPr>
            <w:r w:rsidRPr="00363AF3">
              <w:t>45,655</w:t>
            </w:r>
          </w:p>
        </w:tc>
        <w:tc>
          <w:tcPr>
            <w:tcW w:w="1530" w:type="dxa"/>
            <w:noWrap/>
            <w:hideMark/>
          </w:tcPr>
          <w:p w14:paraId="395352D6" w14:textId="77777777" w:rsidR="00363AF3" w:rsidRPr="00363AF3" w:rsidRDefault="00363AF3" w:rsidP="005565B7">
            <w:pPr>
              <w:jc w:val="both"/>
            </w:pPr>
            <w:r w:rsidRPr="00363AF3">
              <w:t>9,131</w:t>
            </w:r>
          </w:p>
        </w:tc>
        <w:tc>
          <w:tcPr>
            <w:tcW w:w="1615" w:type="dxa"/>
            <w:noWrap/>
            <w:hideMark/>
          </w:tcPr>
          <w:p w14:paraId="4C9DBDAC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20060153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5596CC0E" w14:textId="77777777" w:rsidR="00363AF3" w:rsidRPr="00363AF3" w:rsidRDefault="00363AF3" w:rsidP="005565B7">
            <w:pPr>
              <w:jc w:val="both"/>
            </w:pPr>
            <w:r w:rsidRPr="00363AF3">
              <w:t>Kentucky</w:t>
            </w:r>
          </w:p>
        </w:tc>
        <w:tc>
          <w:tcPr>
            <w:tcW w:w="1530" w:type="dxa"/>
            <w:noWrap/>
            <w:hideMark/>
          </w:tcPr>
          <w:p w14:paraId="151F0569" w14:textId="77777777" w:rsidR="00363AF3" w:rsidRPr="00363AF3" w:rsidRDefault="00363AF3" w:rsidP="005565B7">
            <w:pPr>
              <w:jc w:val="both"/>
            </w:pPr>
            <w:r w:rsidRPr="00363AF3">
              <w:t>-23.7%</w:t>
            </w:r>
          </w:p>
        </w:tc>
        <w:tc>
          <w:tcPr>
            <w:tcW w:w="1710" w:type="dxa"/>
            <w:noWrap/>
            <w:hideMark/>
          </w:tcPr>
          <w:p w14:paraId="621F5C31" w14:textId="77777777" w:rsidR="00363AF3" w:rsidRPr="00363AF3" w:rsidRDefault="00363AF3" w:rsidP="005565B7">
            <w:pPr>
              <w:jc w:val="both"/>
            </w:pPr>
            <w:r w:rsidRPr="00363AF3">
              <w:t>67,023</w:t>
            </w:r>
          </w:p>
        </w:tc>
        <w:tc>
          <w:tcPr>
            <w:tcW w:w="1530" w:type="dxa"/>
            <w:noWrap/>
            <w:hideMark/>
          </w:tcPr>
          <w:p w14:paraId="6820B5D7" w14:textId="77777777" w:rsidR="00363AF3" w:rsidRPr="00363AF3" w:rsidRDefault="00363AF3" w:rsidP="005565B7">
            <w:pPr>
              <w:jc w:val="both"/>
            </w:pPr>
            <w:r w:rsidRPr="00363AF3">
              <w:t>13,941</w:t>
            </w:r>
          </w:p>
        </w:tc>
        <w:tc>
          <w:tcPr>
            <w:tcW w:w="1615" w:type="dxa"/>
            <w:noWrap/>
            <w:hideMark/>
          </w:tcPr>
          <w:p w14:paraId="49ECE47A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56CA3943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16DA14D" w14:textId="77777777" w:rsidR="00363AF3" w:rsidRPr="00363AF3" w:rsidRDefault="00363AF3" w:rsidP="005565B7">
            <w:pPr>
              <w:jc w:val="both"/>
            </w:pPr>
            <w:r w:rsidRPr="00363AF3">
              <w:t>Louisiana</w:t>
            </w:r>
          </w:p>
        </w:tc>
        <w:tc>
          <w:tcPr>
            <w:tcW w:w="1530" w:type="dxa"/>
            <w:noWrap/>
            <w:hideMark/>
          </w:tcPr>
          <w:p w14:paraId="05D1B9C7" w14:textId="77777777" w:rsidR="00363AF3" w:rsidRPr="00363AF3" w:rsidRDefault="00363AF3" w:rsidP="005565B7">
            <w:pPr>
              <w:jc w:val="both"/>
            </w:pPr>
            <w:r w:rsidRPr="00363AF3">
              <w:t>-19.9%</w:t>
            </w:r>
          </w:p>
        </w:tc>
        <w:tc>
          <w:tcPr>
            <w:tcW w:w="1710" w:type="dxa"/>
            <w:noWrap/>
            <w:hideMark/>
          </w:tcPr>
          <w:p w14:paraId="59D0C09D" w14:textId="77777777" w:rsidR="00363AF3" w:rsidRPr="00363AF3" w:rsidRDefault="00363AF3" w:rsidP="005565B7">
            <w:pPr>
              <w:jc w:val="both"/>
            </w:pPr>
            <w:r w:rsidRPr="00363AF3">
              <w:t>67,057</w:t>
            </w:r>
          </w:p>
        </w:tc>
        <w:tc>
          <w:tcPr>
            <w:tcW w:w="1530" w:type="dxa"/>
            <w:noWrap/>
            <w:hideMark/>
          </w:tcPr>
          <w:p w14:paraId="387A1F27" w14:textId="77777777" w:rsidR="00363AF3" w:rsidRPr="00363AF3" w:rsidRDefault="00363AF3" w:rsidP="005565B7">
            <w:pPr>
              <w:jc w:val="both"/>
            </w:pPr>
            <w:r w:rsidRPr="00363AF3">
              <w:t>15,356</w:t>
            </w:r>
          </w:p>
        </w:tc>
        <w:tc>
          <w:tcPr>
            <w:tcW w:w="1615" w:type="dxa"/>
            <w:noWrap/>
            <w:hideMark/>
          </w:tcPr>
          <w:p w14:paraId="4009E606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5C1DCC06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703AB50" w14:textId="77777777" w:rsidR="00363AF3" w:rsidRPr="00363AF3" w:rsidRDefault="00363AF3" w:rsidP="005565B7">
            <w:pPr>
              <w:jc w:val="both"/>
            </w:pPr>
            <w:r w:rsidRPr="00363AF3">
              <w:t>Maine</w:t>
            </w:r>
          </w:p>
        </w:tc>
        <w:tc>
          <w:tcPr>
            <w:tcW w:w="1530" w:type="dxa"/>
            <w:noWrap/>
            <w:hideMark/>
          </w:tcPr>
          <w:p w14:paraId="52CFEC16" w14:textId="77777777" w:rsidR="00363AF3" w:rsidRPr="00363AF3" w:rsidRDefault="00363AF3" w:rsidP="005565B7">
            <w:pPr>
              <w:jc w:val="both"/>
            </w:pPr>
            <w:r w:rsidRPr="00363AF3">
              <w:t>-13.4%</w:t>
            </w:r>
          </w:p>
        </w:tc>
        <w:tc>
          <w:tcPr>
            <w:tcW w:w="1710" w:type="dxa"/>
            <w:noWrap/>
            <w:hideMark/>
          </w:tcPr>
          <w:p w14:paraId="0DA0E189" w14:textId="77777777" w:rsidR="00363AF3" w:rsidRPr="00363AF3" w:rsidRDefault="00363AF3" w:rsidP="005565B7">
            <w:pPr>
              <w:jc w:val="both"/>
            </w:pPr>
            <w:r w:rsidRPr="00363AF3">
              <w:t>23,457</w:t>
            </w:r>
          </w:p>
        </w:tc>
        <w:tc>
          <w:tcPr>
            <w:tcW w:w="1530" w:type="dxa"/>
            <w:noWrap/>
            <w:hideMark/>
          </w:tcPr>
          <w:p w14:paraId="6FF8FA91" w14:textId="77777777" w:rsidR="00363AF3" w:rsidRPr="00363AF3" w:rsidRDefault="00363AF3" w:rsidP="005565B7">
            <w:pPr>
              <w:jc w:val="both"/>
            </w:pPr>
            <w:r w:rsidRPr="00363AF3">
              <w:t>2,721</w:t>
            </w:r>
          </w:p>
        </w:tc>
        <w:tc>
          <w:tcPr>
            <w:tcW w:w="1615" w:type="dxa"/>
            <w:noWrap/>
            <w:hideMark/>
          </w:tcPr>
          <w:p w14:paraId="3DB1768D" w14:textId="77777777" w:rsidR="00363AF3" w:rsidRPr="00363AF3" w:rsidRDefault="00363AF3" w:rsidP="005565B7">
            <w:pPr>
              <w:jc w:val="both"/>
            </w:pPr>
            <w:r w:rsidRPr="00363AF3">
              <w:t>0.2%</w:t>
            </w:r>
          </w:p>
        </w:tc>
      </w:tr>
      <w:tr w:rsidR="00363AF3" w:rsidRPr="00363AF3" w14:paraId="4D53BC7F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7E28E2FC" w14:textId="77777777" w:rsidR="00363AF3" w:rsidRPr="00363AF3" w:rsidRDefault="00363AF3" w:rsidP="005565B7">
            <w:pPr>
              <w:jc w:val="both"/>
            </w:pPr>
            <w:r w:rsidRPr="00363AF3">
              <w:t>Maryland</w:t>
            </w:r>
          </w:p>
        </w:tc>
        <w:tc>
          <w:tcPr>
            <w:tcW w:w="1530" w:type="dxa"/>
            <w:noWrap/>
            <w:hideMark/>
          </w:tcPr>
          <w:p w14:paraId="0198D177" w14:textId="77777777" w:rsidR="00363AF3" w:rsidRPr="00363AF3" w:rsidRDefault="00363AF3" w:rsidP="005565B7">
            <w:pPr>
              <w:jc w:val="both"/>
            </w:pPr>
            <w:r w:rsidRPr="00363AF3">
              <w:t>-17.8%</w:t>
            </w:r>
          </w:p>
        </w:tc>
        <w:tc>
          <w:tcPr>
            <w:tcW w:w="1710" w:type="dxa"/>
            <w:noWrap/>
            <w:hideMark/>
          </w:tcPr>
          <w:p w14:paraId="5EA875B4" w14:textId="77777777" w:rsidR="00363AF3" w:rsidRPr="00363AF3" w:rsidRDefault="00363AF3" w:rsidP="005565B7">
            <w:pPr>
              <w:jc w:val="both"/>
            </w:pPr>
            <w:r w:rsidRPr="00363AF3">
              <w:t>53,362</w:t>
            </w:r>
          </w:p>
        </w:tc>
        <w:tc>
          <w:tcPr>
            <w:tcW w:w="1530" w:type="dxa"/>
            <w:noWrap/>
            <w:hideMark/>
          </w:tcPr>
          <w:p w14:paraId="7FB8726C" w14:textId="77777777" w:rsidR="00363AF3" w:rsidRPr="00363AF3" w:rsidRDefault="00363AF3" w:rsidP="005565B7">
            <w:pPr>
              <w:jc w:val="both"/>
            </w:pPr>
            <w:r w:rsidRPr="00363AF3">
              <w:t>4,269</w:t>
            </w:r>
          </w:p>
        </w:tc>
        <w:tc>
          <w:tcPr>
            <w:tcW w:w="1615" w:type="dxa"/>
            <w:noWrap/>
            <w:hideMark/>
          </w:tcPr>
          <w:p w14:paraId="620AA473" w14:textId="77777777" w:rsidR="00363AF3" w:rsidRPr="00363AF3" w:rsidRDefault="00363AF3" w:rsidP="005565B7">
            <w:pPr>
              <w:jc w:val="both"/>
            </w:pPr>
            <w:r w:rsidRPr="00363AF3">
              <w:t>0.3%</w:t>
            </w:r>
          </w:p>
        </w:tc>
      </w:tr>
      <w:tr w:rsidR="00363AF3" w:rsidRPr="00363AF3" w14:paraId="640B5BB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073437B" w14:textId="77777777" w:rsidR="00363AF3" w:rsidRPr="00363AF3" w:rsidRDefault="00363AF3" w:rsidP="005565B7">
            <w:pPr>
              <w:jc w:val="both"/>
            </w:pPr>
            <w:r w:rsidRPr="00363AF3">
              <w:t>Massachusetts</w:t>
            </w:r>
          </w:p>
        </w:tc>
        <w:tc>
          <w:tcPr>
            <w:tcW w:w="1530" w:type="dxa"/>
            <w:noWrap/>
            <w:hideMark/>
          </w:tcPr>
          <w:p w14:paraId="00F09C61" w14:textId="77777777" w:rsidR="00363AF3" w:rsidRPr="00363AF3" w:rsidRDefault="00363AF3" w:rsidP="005565B7">
            <w:pPr>
              <w:jc w:val="both"/>
            </w:pPr>
            <w:r w:rsidRPr="00363AF3">
              <w:t>-25.0%</w:t>
            </w:r>
          </w:p>
        </w:tc>
        <w:tc>
          <w:tcPr>
            <w:tcW w:w="1710" w:type="dxa"/>
            <w:noWrap/>
            <w:hideMark/>
          </w:tcPr>
          <w:p w14:paraId="29ABEEC9" w14:textId="77777777" w:rsidR="00363AF3" w:rsidRPr="00363AF3" w:rsidRDefault="00363AF3" w:rsidP="005565B7">
            <w:pPr>
              <w:jc w:val="both"/>
            </w:pPr>
            <w:r w:rsidRPr="00363AF3">
              <w:t>102,744</w:t>
            </w:r>
          </w:p>
        </w:tc>
        <w:tc>
          <w:tcPr>
            <w:tcW w:w="1530" w:type="dxa"/>
            <w:noWrap/>
            <w:hideMark/>
          </w:tcPr>
          <w:p w14:paraId="43F45BAE" w14:textId="77777777" w:rsidR="00363AF3" w:rsidRPr="00363AF3" w:rsidRDefault="00363AF3" w:rsidP="005565B7">
            <w:pPr>
              <w:jc w:val="both"/>
            </w:pPr>
            <w:r w:rsidRPr="00363AF3">
              <w:t>8,014</w:t>
            </w:r>
          </w:p>
        </w:tc>
        <w:tc>
          <w:tcPr>
            <w:tcW w:w="1615" w:type="dxa"/>
            <w:noWrap/>
            <w:hideMark/>
          </w:tcPr>
          <w:p w14:paraId="106DEC35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3E402029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2CA2046" w14:textId="77777777" w:rsidR="00363AF3" w:rsidRPr="00363AF3" w:rsidRDefault="00363AF3" w:rsidP="005565B7">
            <w:pPr>
              <w:jc w:val="both"/>
            </w:pPr>
            <w:r w:rsidRPr="00363AF3">
              <w:t>Michigan</w:t>
            </w:r>
          </w:p>
        </w:tc>
        <w:tc>
          <w:tcPr>
            <w:tcW w:w="1530" w:type="dxa"/>
            <w:noWrap/>
            <w:hideMark/>
          </w:tcPr>
          <w:p w14:paraId="3F44D806" w14:textId="77777777" w:rsidR="00363AF3" w:rsidRPr="00363AF3" w:rsidRDefault="00363AF3" w:rsidP="005565B7">
            <w:pPr>
              <w:jc w:val="both"/>
            </w:pPr>
            <w:r w:rsidRPr="00363AF3">
              <w:t>-12.0%</w:t>
            </w:r>
          </w:p>
        </w:tc>
        <w:tc>
          <w:tcPr>
            <w:tcW w:w="1710" w:type="dxa"/>
            <w:noWrap/>
            <w:hideMark/>
          </w:tcPr>
          <w:p w14:paraId="4F2039AB" w14:textId="77777777" w:rsidR="00363AF3" w:rsidRPr="00363AF3" w:rsidRDefault="00363AF3" w:rsidP="005565B7">
            <w:pPr>
              <w:jc w:val="both"/>
            </w:pPr>
            <w:r w:rsidRPr="00363AF3">
              <w:t>74,513</w:t>
            </w:r>
          </w:p>
        </w:tc>
        <w:tc>
          <w:tcPr>
            <w:tcW w:w="1530" w:type="dxa"/>
            <w:noWrap/>
            <w:hideMark/>
          </w:tcPr>
          <w:p w14:paraId="225126A5" w14:textId="77777777" w:rsidR="00363AF3" w:rsidRPr="00363AF3" w:rsidRDefault="00363AF3" w:rsidP="005565B7">
            <w:pPr>
              <w:jc w:val="both"/>
            </w:pPr>
            <w:r w:rsidRPr="00363AF3">
              <w:t>12,891</w:t>
            </w:r>
          </w:p>
        </w:tc>
        <w:tc>
          <w:tcPr>
            <w:tcW w:w="1615" w:type="dxa"/>
            <w:noWrap/>
            <w:hideMark/>
          </w:tcPr>
          <w:p w14:paraId="1E445366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0FF73994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D1E8FE6" w14:textId="77777777" w:rsidR="00363AF3" w:rsidRPr="00363AF3" w:rsidRDefault="00363AF3" w:rsidP="005565B7">
            <w:pPr>
              <w:jc w:val="both"/>
            </w:pPr>
            <w:r w:rsidRPr="00363AF3">
              <w:t>Minnesota</w:t>
            </w:r>
          </w:p>
        </w:tc>
        <w:tc>
          <w:tcPr>
            <w:tcW w:w="1530" w:type="dxa"/>
            <w:noWrap/>
            <w:hideMark/>
          </w:tcPr>
          <w:p w14:paraId="58833D93" w14:textId="77777777" w:rsidR="00363AF3" w:rsidRPr="00363AF3" w:rsidRDefault="00363AF3" w:rsidP="005565B7">
            <w:pPr>
              <w:jc w:val="both"/>
            </w:pPr>
            <w:r w:rsidRPr="00363AF3">
              <w:t>-19.3%</w:t>
            </w:r>
          </w:p>
        </w:tc>
        <w:tc>
          <w:tcPr>
            <w:tcW w:w="1710" w:type="dxa"/>
            <w:noWrap/>
            <w:hideMark/>
          </w:tcPr>
          <w:p w14:paraId="3DDE1422" w14:textId="77777777" w:rsidR="00363AF3" w:rsidRPr="00363AF3" w:rsidRDefault="00363AF3" w:rsidP="005565B7">
            <w:pPr>
              <w:jc w:val="both"/>
            </w:pPr>
            <w:r w:rsidRPr="00363AF3">
              <w:t>44,049</w:t>
            </w:r>
          </w:p>
        </w:tc>
        <w:tc>
          <w:tcPr>
            <w:tcW w:w="1530" w:type="dxa"/>
            <w:noWrap/>
            <w:hideMark/>
          </w:tcPr>
          <w:p w14:paraId="0BB72D21" w14:textId="77777777" w:rsidR="00363AF3" w:rsidRPr="00363AF3" w:rsidRDefault="00363AF3" w:rsidP="005565B7">
            <w:pPr>
              <w:jc w:val="both"/>
            </w:pPr>
            <w:r w:rsidRPr="00363AF3">
              <w:t>5,859</w:t>
            </w:r>
          </w:p>
        </w:tc>
        <w:tc>
          <w:tcPr>
            <w:tcW w:w="1615" w:type="dxa"/>
            <w:noWrap/>
            <w:hideMark/>
          </w:tcPr>
          <w:p w14:paraId="0D4AF720" w14:textId="77777777" w:rsidR="00363AF3" w:rsidRPr="00363AF3" w:rsidRDefault="00363AF3" w:rsidP="005565B7">
            <w:pPr>
              <w:jc w:val="both"/>
            </w:pPr>
            <w:r w:rsidRPr="00363AF3">
              <w:t>0.4%</w:t>
            </w:r>
          </w:p>
        </w:tc>
      </w:tr>
      <w:tr w:rsidR="00363AF3" w:rsidRPr="00363AF3" w14:paraId="241D93B5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A68AA06" w14:textId="77777777" w:rsidR="00363AF3" w:rsidRPr="00363AF3" w:rsidRDefault="00363AF3" w:rsidP="005565B7">
            <w:pPr>
              <w:jc w:val="both"/>
            </w:pPr>
            <w:r w:rsidRPr="00363AF3">
              <w:t>Missouri</w:t>
            </w:r>
          </w:p>
        </w:tc>
        <w:tc>
          <w:tcPr>
            <w:tcW w:w="1530" w:type="dxa"/>
            <w:noWrap/>
            <w:hideMark/>
          </w:tcPr>
          <w:p w14:paraId="3C4F780E" w14:textId="77777777" w:rsidR="00363AF3" w:rsidRPr="00363AF3" w:rsidRDefault="00363AF3" w:rsidP="005565B7">
            <w:pPr>
              <w:jc w:val="both"/>
            </w:pPr>
            <w:r w:rsidRPr="00363AF3">
              <w:t>-14.7%</w:t>
            </w:r>
          </w:p>
        </w:tc>
        <w:tc>
          <w:tcPr>
            <w:tcW w:w="1710" w:type="dxa"/>
            <w:noWrap/>
            <w:hideMark/>
          </w:tcPr>
          <w:p w14:paraId="4FBD7CB0" w14:textId="77777777" w:rsidR="00363AF3" w:rsidRPr="00363AF3" w:rsidRDefault="00363AF3" w:rsidP="005565B7">
            <w:pPr>
              <w:jc w:val="both"/>
            </w:pPr>
            <w:r w:rsidRPr="00363AF3">
              <w:t>149,257</w:t>
            </w:r>
          </w:p>
        </w:tc>
        <w:tc>
          <w:tcPr>
            <w:tcW w:w="1530" w:type="dxa"/>
            <w:noWrap/>
            <w:hideMark/>
          </w:tcPr>
          <w:p w14:paraId="33655058" w14:textId="77777777" w:rsidR="00363AF3" w:rsidRPr="00363AF3" w:rsidRDefault="00363AF3" w:rsidP="005565B7">
            <w:pPr>
              <w:jc w:val="both"/>
            </w:pPr>
            <w:r w:rsidRPr="00363AF3">
              <w:t>35,374</w:t>
            </w:r>
          </w:p>
        </w:tc>
        <w:tc>
          <w:tcPr>
            <w:tcW w:w="1615" w:type="dxa"/>
            <w:noWrap/>
            <w:hideMark/>
          </w:tcPr>
          <w:p w14:paraId="50C802BB" w14:textId="77777777" w:rsidR="00363AF3" w:rsidRPr="00363AF3" w:rsidRDefault="00363AF3" w:rsidP="005565B7">
            <w:pPr>
              <w:jc w:val="both"/>
            </w:pPr>
            <w:r w:rsidRPr="00363AF3">
              <w:t>3%</w:t>
            </w:r>
          </w:p>
        </w:tc>
      </w:tr>
      <w:tr w:rsidR="00363AF3" w:rsidRPr="00363AF3" w14:paraId="79F52011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DB83D14" w14:textId="77777777" w:rsidR="00363AF3" w:rsidRPr="00363AF3" w:rsidRDefault="00363AF3" w:rsidP="005565B7">
            <w:pPr>
              <w:jc w:val="both"/>
            </w:pPr>
            <w:r w:rsidRPr="00363AF3">
              <w:t>Montana</w:t>
            </w:r>
          </w:p>
        </w:tc>
        <w:tc>
          <w:tcPr>
            <w:tcW w:w="1530" w:type="dxa"/>
            <w:noWrap/>
            <w:hideMark/>
          </w:tcPr>
          <w:p w14:paraId="400BF631" w14:textId="77777777" w:rsidR="00363AF3" w:rsidRPr="00363AF3" w:rsidRDefault="00363AF3" w:rsidP="005565B7">
            <w:pPr>
              <w:jc w:val="both"/>
            </w:pPr>
            <w:r w:rsidRPr="00363AF3">
              <w:t>-32.9%</w:t>
            </w:r>
          </w:p>
        </w:tc>
        <w:tc>
          <w:tcPr>
            <w:tcW w:w="1710" w:type="dxa"/>
            <w:noWrap/>
            <w:hideMark/>
          </w:tcPr>
          <w:p w14:paraId="25F08C0C" w14:textId="77777777" w:rsidR="00363AF3" w:rsidRPr="00363AF3" w:rsidRDefault="00363AF3" w:rsidP="005565B7">
            <w:pPr>
              <w:jc w:val="both"/>
            </w:pPr>
            <w:r w:rsidRPr="00363AF3">
              <w:t>20,438</w:t>
            </w:r>
          </w:p>
        </w:tc>
        <w:tc>
          <w:tcPr>
            <w:tcW w:w="1530" w:type="dxa"/>
            <w:noWrap/>
            <w:hideMark/>
          </w:tcPr>
          <w:p w14:paraId="18395E76" w14:textId="77777777" w:rsidR="00363AF3" w:rsidRPr="00363AF3" w:rsidRDefault="00363AF3" w:rsidP="005565B7">
            <w:pPr>
              <w:jc w:val="both"/>
            </w:pPr>
            <w:r w:rsidRPr="00363AF3">
              <w:t>4,067</w:t>
            </w:r>
          </w:p>
        </w:tc>
        <w:tc>
          <w:tcPr>
            <w:tcW w:w="1615" w:type="dxa"/>
            <w:noWrap/>
            <w:hideMark/>
          </w:tcPr>
          <w:p w14:paraId="6BE98DE3" w14:textId="77777777" w:rsidR="00363AF3" w:rsidRPr="00363AF3" w:rsidRDefault="00363AF3" w:rsidP="005565B7">
            <w:pPr>
              <w:jc w:val="both"/>
            </w:pPr>
            <w:r w:rsidRPr="00363AF3">
              <w:t>0.3%</w:t>
            </w:r>
          </w:p>
        </w:tc>
      </w:tr>
      <w:tr w:rsidR="00363AF3" w:rsidRPr="00363AF3" w14:paraId="4254584E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BDC2DE0" w14:textId="77777777" w:rsidR="00363AF3" w:rsidRPr="00363AF3" w:rsidRDefault="00363AF3" w:rsidP="005565B7">
            <w:pPr>
              <w:jc w:val="both"/>
            </w:pPr>
            <w:r w:rsidRPr="00363AF3">
              <w:t>Nebraska</w:t>
            </w:r>
          </w:p>
        </w:tc>
        <w:tc>
          <w:tcPr>
            <w:tcW w:w="1530" w:type="dxa"/>
            <w:noWrap/>
            <w:hideMark/>
          </w:tcPr>
          <w:p w14:paraId="58D8D466" w14:textId="77777777" w:rsidR="00363AF3" w:rsidRPr="00363AF3" w:rsidRDefault="00363AF3" w:rsidP="005565B7">
            <w:pPr>
              <w:jc w:val="both"/>
            </w:pPr>
            <w:r w:rsidRPr="00363AF3">
              <w:t>-18.6%</w:t>
            </w:r>
          </w:p>
        </w:tc>
        <w:tc>
          <w:tcPr>
            <w:tcW w:w="1710" w:type="dxa"/>
            <w:noWrap/>
            <w:hideMark/>
          </w:tcPr>
          <w:p w14:paraId="115927B9" w14:textId="77777777" w:rsidR="00363AF3" w:rsidRPr="00363AF3" w:rsidRDefault="00363AF3" w:rsidP="005565B7">
            <w:pPr>
              <w:jc w:val="both"/>
            </w:pPr>
            <w:r w:rsidRPr="00363AF3">
              <w:t>48,197</w:t>
            </w:r>
          </w:p>
        </w:tc>
        <w:tc>
          <w:tcPr>
            <w:tcW w:w="1530" w:type="dxa"/>
            <w:noWrap/>
            <w:hideMark/>
          </w:tcPr>
          <w:p w14:paraId="24558F71" w14:textId="77777777" w:rsidR="00363AF3" w:rsidRPr="00363AF3" w:rsidRDefault="00363AF3" w:rsidP="005565B7">
            <w:pPr>
              <w:jc w:val="both"/>
            </w:pPr>
            <w:r w:rsidRPr="00363AF3">
              <w:t>6,458</w:t>
            </w:r>
          </w:p>
        </w:tc>
        <w:tc>
          <w:tcPr>
            <w:tcW w:w="1615" w:type="dxa"/>
            <w:noWrap/>
            <w:hideMark/>
          </w:tcPr>
          <w:p w14:paraId="016CB47A" w14:textId="77777777" w:rsidR="00363AF3" w:rsidRPr="00363AF3" w:rsidRDefault="00363AF3" w:rsidP="005565B7">
            <w:pPr>
              <w:jc w:val="both"/>
            </w:pPr>
            <w:r w:rsidRPr="00363AF3">
              <w:t>0.5%</w:t>
            </w:r>
          </w:p>
        </w:tc>
      </w:tr>
      <w:tr w:rsidR="00363AF3" w:rsidRPr="00363AF3" w14:paraId="6AE7CB2D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8CC73B7" w14:textId="77777777" w:rsidR="00363AF3" w:rsidRPr="00363AF3" w:rsidRDefault="00363AF3" w:rsidP="005565B7">
            <w:pPr>
              <w:jc w:val="both"/>
            </w:pPr>
            <w:r w:rsidRPr="00363AF3">
              <w:t>Nevada</w:t>
            </w:r>
          </w:p>
        </w:tc>
        <w:tc>
          <w:tcPr>
            <w:tcW w:w="1530" w:type="dxa"/>
            <w:noWrap/>
            <w:hideMark/>
          </w:tcPr>
          <w:p w14:paraId="16800E72" w14:textId="77777777" w:rsidR="00363AF3" w:rsidRPr="00363AF3" w:rsidRDefault="00363AF3" w:rsidP="005565B7">
            <w:pPr>
              <w:jc w:val="both"/>
            </w:pPr>
            <w:r w:rsidRPr="00363AF3">
              <w:t>-26.2%</w:t>
            </w:r>
          </w:p>
        </w:tc>
        <w:tc>
          <w:tcPr>
            <w:tcW w:w="1710" w:type="dxa"/>
            <w:noWrap/>
            <w:hideMark/>
          </w:tcPr>
          <w:p w14:paraId="49B6F285" w14:textId="77777777" w:rsidR="00363AF3" w:rsidRPr="00363AF3" w:rsidRDefault="00363AF3" w:rsidP="005565B7">
            <w:pPr>
              <w:jc w:val="both"/>
            </w:pPr>
            <w:r w:rsidRPr="00363AF3">
              <w:t>30,114</w:t>
            </w:r>
          </w:p>
        </w:tc>
        <w:tc>
          <w:tcPr>
            <w:tcW w:w="1530" w:type="dxa"/>
            <w:noWrap/>
            <w:hideMark/>
          </w:tcPr>
          <w:p w14:paraId="0A82C09F" w14:textId="77777777" w:rsidR="00363AF3" w:rsidRPr="00363AF3" w:rsidRDefault="00363AF3" w:rsidP="005565B7">
            <w:pPr>
              <w:jc w:val="both"/>
            </w:pPr>
            <w:r w:rsidRPr="00363AF3">
              <w:t>5,360</w:t>
            </w:r>
          </w:p>
        </w:tc>
        <w:tc>
          <w:tcPr>
            <w:tcW w:w="1615" w:type="dxa"/>
            <w:noWrap/>
            <w:hideMark/>
          </w:tcPr>
          <w:p w14:paraId="5524413E" w14:textId="77777777" w:rsidR="00363AF3" w:rsidRPr="00363AF3" w:rsidRDefault="00363AF3" w:rsidP="005565B7">
            <w:pPr>
              <w:jc w:val="both"/>
            </w:pPr>
            <w:r w:rsidRPr="00363AF3">
              <w:t>0.4%</w:t>
            </w:r>
          </w:p>
        </w:tc>
      </w:tr>
      <w:tr w:rsidR="00363AF3" w:rsidRPr="00363AF3" w14:paraId="7D20A5ED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596A6D84" w14:textId="77777777" w:rsidR="00363AF3" w:rsidRPr="00363AF3" w:rsidRDefault="00363AF3" w:rsidP="005565B7">
            <w:pPr>
              <w:jc w:val="both"/>
            </w:pPr>
            <w:r w:rsidRPr="00363AF3">
              <w:t>New Hampshire</w:t>
            </w:r>
          </w:p>
        </w:tc>
        <w:tc>
          <w:tcPr>
            <w:tcW w:w="1530" w:type="dxa"/>
            <w:noWrap/>
            <w:hideMark/>
          </w:tcPr>
          <w:p w14:paraId="62F837A5" w14:textId="77777777" w:rsidR="00363AF3" w:rsidRPr="00363AF3" w:rsidRDefault="00363AF3" w:rsidP="005565B7">
            <w:pPr>
              <w:jc w:val="both"/>
            </w:pPr>
            <w:r w:rsidRPr="00363AF3">
              <w:t>-17.2%</w:t>
            </w:r>
          </w:p>
        </w:tc>
        <w:tc>
          <w:tcPr>
            <w:tcW w:w="1710" w:type="dxa"/>
            <w:noWrap/>
            <w:hideMark/>
          </w:tcPr>
          <w:p w14:paraId="677B94D9" w14:textId="77777777" w:rsidR="00363AF3" w:rsidRPr="00363AF3" w:rsidRDefault="00363AF3" w:rsidP="005565B7">
            <w:pPr>
              <w:jc w:val="both"/>
            </w:pPr>
            <w:r w:rsidRPr="00363AF3">
              <w:t>11,694</w:t>
            </w:r>
          </w:p>
        </w:tc>
        <w:tc>
          <w:tcPr>
            <w:tcW w:w="1530" w:type="dxa"/>
            <w:noWrap/>
            <w:hideMark/>
          </w:tcPr>
          <w:p w14:paraId="0B0A35DB" w14:textId="77777777" w:rsidR="00363AF3" w:rsidRPr="00363AF3" w:rsidRDefault="00363AF3" w:rsidP="005565B7">
            <w:pPr>
              <w:jc w:val="both"/>
            </w:pPr>
            <w:r w:rsidRPr="00363AF3">
              <w:t>2,924</w:t>
            </w:r>
          </w:p>
        </w:tc>
        <w:tc>
          <w:tcPr>
            <w:tcW w:w="1615" w:type="dxa"/>
            <w:noWrap/>
            <w:hideMark/>
          </w:tcPr>
          <w:p w14:paraId="21C0D10D" w14:textId="77777777" w:rsidR="00363AF3" w:rsidRPr="00363AF3" w:rsidRDefault="00363AF3" w:rsidP="005565B7">
            <w:pPr>
              <w:jc w:val="both"/>
            </w:pPr>
            <w:r w:rsidRPr="00363AF3">
              <w:t>0.2%</w:t>
            </w:r>
          </w:p>
        </w:tc>
      </w:tr>
      <w:tr w:rsidR="00363AF3" w:rsidRPr="00363AF3" w14:paraId="2B5D7ED8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688A7CDE" w14:textId="77777777" w:rsidR="00363AF3" w:rsidRPr="00363AF3" w:rsidRDefault="00363AF3" w:rsidP="005565B7">
            <w:pPr>
              <w:jc w:val="both"/>
            </w:pPr>
            <w:r w:rsidRPr="00363AF3">
              <w:t>New Jersey</w:t>
            </w:r>
          </w:p>
        </w:tc>
        <w:tc>
          <w:tcPr>
            <w:tcW w:w="1530" w:type="dxa"/>
            <w:noWrap/>
            <w:hideMark/>
          </w:tcPr>
          <w:p w14:paraId="23E52F96" w14:textId="77777777" w:rsidR="00363AF3" w:rsidRPr="00363AF3" w:rsidRDefault="00363AF3" w:rsidP="005565B7">
            <w:pPr>
              <w:jc w:val="both"/>
            </w:pPr>
            <w:r w:rsidRPr="00363AF3">
              <w:t>-18.5%</w:t>
            </w:r>
          </w:p>
        </w:tc>
        <w:tc>
          <w:tcPr>
            <w:tcW w:w="1710" w:type="dxa"/>
            <w:noWrap/>
            <w:hideMark/>
          </w:tcPr>
          <w:p w14:paraId="2A5F464A" w14:textId="77777777" w:rsidR="00363AF3" w:rsidRPr="00363AF3" w:rsidRDefault="00363AF3" w:rsidP="005565B7">
            <w:pPr>
              <w:jc w:val="both"/>
            </w:pPr>
            <w:r w:rsidRPr="00363AF3">
              <w:t>149,502</w:t>
            </w:r>
          </w:p>
        </w:tc>
        <w:tc>
          <w:tcPr>
            <w:tcW w:w="1530" w:type="dxa"/>
            <w:noWrap/>
            <w:hideMark/>
          </w:tcPr>
          <w:p w14:paraId="24185296" w14:textId="77777777" w:rsidR="00363AF3" w:rsidRPr="00363AF3" w:rsidRDefault="00363AF3" w:rsidP="005565B7">
            <w:pPr>
              <w:jc w:val="both"/>
            </w:pPr>
            <w:r w:rsidRPr="00363AF3">
              <w:t>17,940</w:t>
            </w:r>
          </w:p>
        </w:tc>
        <w:tc>
          <w:tcPr>
            <w:tcW w:w="1615" w:type="dxa"/>
            <w:noWrap/>
            <w:hideMark/>
          </w:tcPr>
          <w:p w14:paraId="542505D4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1BD20387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CD7DC5E" w14:textId="77777777" w:rsidR="00363AF3" w:rsidRPr="00363AF3" w:rsidRDefault="00363AF3" w:rsidP="005565B7">
            <w:pPr>
              <w:jc w:val="both"/>
            </w:pPr>
            <w:r w:rsidRPr="00363AF3">
              <w:lastRenderedPageBreak/>
              <w:t>New Mexico</w:t>
            </w:r>
          </w:p>
        </w:tc>
        <w:tc>
          <w:tcPr>
            <w:tcW w:w="1530" w:type="dxa"/>
            <w:noWrap/>
            <w:hideMark/>
          </w:tcPr>
          <w:p w14:paraId="402DC8F5" w14:textId="77777777" w:rsidR="00363AF3" w:rsidRPr="00363AF3" w:rsidRDefault="00363AF3" w:rsidP="005565B7">
            <w:pPr>
              <w:jc w:val="both"/>
            </w:pPr>
            <w:r w:rsidRPr="00363AF3">
              <w:t>-17.6%</w:t>
            </w:r>
          </w:p>
        </w:tc>
        <w:tc>
          <w:tcPr>
            <w:tcW w:w="1710" w:type="dxa"/>
            <w:noWrap/>
            <w:hideMark/>
          </w:tcPr>
          <w:p w14:paraId="37832B6E" w14:textId="77777777" w:rsidR="00363AF3" w:rsidRPr="00363AF3" w:rsidRDefault="00363AF3" w:rsidP="005565B7">
            <w:pPr>
              <w:jc w:val="both"/>
            </w:pPr>
            <w:r w:rsidRPr="00363AF3">
              <w:t>59,702</w:t>
            </w:r>
          </w:p>
        </w:tc>
        <w:tc>
          <w:tcPr>
            <w:tcW w:w="1530" w:type="dxa"/>
            <w:noWrap/>
            <w:hideMark/>
          </w:tcPr>
          <w:p w14:paraId="3E25FF4A" w14:textId="77777777" w:rsidR="00363AF3" w:rsidRPr="00363AF3" w:rsidRDefault="00363AF3" w:rsidP="005565B7">
            <w:pPr>
              <w:jc w:val="both"/>
            </w:pPr>
            <w:r w:rsidRPr="00363AF3">
              <w:t>11,522</w:t>
            </w:r>
          </w:p>
        </w:tc>
        <w:tc>
          <w:tcPr>
            <w:tcW w:w="1615" w:type="dxa"/>
            <w:noWrap/>
            <w:hideMark/>
          </w:tcPr>
          <w:p w14:paraId="52BF9C0A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281630FB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62DE07FD" w14:textId="77777777" w:rsidR="00363AF3" w:rsidRPr="00363AF3" w:rsidRDefault="00363AF3" w:rsidP="005565B7">
            <w:pPr>
              <w:jc w:val="both"/>
            </w:pPr>
            <w:r w:rsidRPr="00363AF3">
              <w:t>New York</w:t>
            </w:r>
          </w:p>
        </w:tc>
        <w:tc>
          <w:tcPr>
            <w:tcW w:w="1530" w:type="dxa"/>
            <w:noWrap/>
            <w:hideMark/>
          </w:tcPr>
          <w:p w14:paraId="7AE56CB8" w14:textId="77777777" w:rsidR="00363AF3" w:rsidRPr="00363AF3" w:rsidRDefault="00363AF3" w:rsidP="005565B7">
            <w:pPr>
              <w:jc w:val="both"/>
            </w:pPr>
            <w:r w:rsidRPr="00363AF3">
              <w:t>-9.7%</w:t>
            </w:r>
          </w:p>
        </w:tc>
        <w:tc>
          <w:tcPr>
            <w:tcW w:w="1710" w:type="dxa"/>
            <w:noWrap/>
            <w:hideMark/>
          </w:tcPr>
          <w:p w14:paraId="4E88B9B1" w14:textId="77777777" w:rsidR="00363AF3" w:rsidRPr="00363AF3" w:rsidRDefault="00363AF3" w:rsidP="005565B7">
            <w:pPr>
              <w:jc w:val="both"/>
            </w:pPr>
            <w:r w:rsidRPr="00363AF3">
              <w:t>263,947</w:t>
            </w:r>
          </w:p>
        </w:tc>
        <w:tc>
          <w:tcPr>
            <w:tcW w:w="1530" w:type="dxa"/>
            <w:noWrap/>
            <w:hideMark/>
          </w:tcPr>
          <w:p w14:paraId="6E489609" w14:textId="77777777" w:rsidR="00363AF3" w:rsidRPr="00363AF3" w:rsidRDefault="00363AF3" w:rsidP="005565B7">
            <w:pPr>
              <w:jc w:val="both"/>
            </w:pPr>
            <w:r w:rsidRPr="00363AF3">
              <w:t>38,800</w:t>
            </w:r>
          </w:p>
        </w:tc>
        <w:tc>
          <w:tcPr>
            <w:tcW w:w="1615" w:type="dxa"/>
            <w:noWrap/>
            <w:hideMark/>
          </w:tcPr>
          <w:p w14:paraId="71B0D632" w14:textId="77777777" w:rsidR="00363AF3" w:rsidRPr="00363AF3" w:rsidRDefault="00363AF3" w:rsidP="005565B7">
            <w:pPr>
              <w:jc w:val="both"/>
            </w:pPr>
            <w:r w:rsidRPr="00363AF3">
              <w:t>3%</w:t>
            </w:r>
          </w:p>
        </w:tc>
      </w:tr>
      <w:tr w:rsidR="00363AF3" w:rsidRPr="00363AF3" w14:paraId="268E1956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7661C78D" w14:textId="77777777" w:rsidR="00363AF3" w:rsidRPr="00363AF3" w:rsidRDefault="00363AF3" w:rsidP="005565B7">
            <w:pPr>
              <w:jc w:val="both"/>
            </w:pPr>
            <w:r w:rsidRPr="00363AF3">
              <w:t>North Dakota</w:t>
            </w:r>
          </w:p>
        </w:tc>
        <w:tc>
          <w:tcPr>
            <w:tcW w:w="1530" w:type="dxa"/>
            <w:noWrap/>
            <w:hideMark/>
          </w:tcPr>
          <w:p w14:paraId="2031592C" w14:textId="77777777" w:rsidR="00363AF3" w:rsidRPr="00363AF3" w:rsidRDefault="00363AF3" w:rsidP="005565B7">
            <w:pPr>
              <w:jc w:val="both"/>
            </w:pPr>
            <w:r w:rsidRPr="00363AF3">
              <w:t>-39.0%</w:t>
            </w:r>
          </w:p>
        </w:tc>
        <w:tc>
          <w:tcPr>
            <w:tcW w:w="1710" w:type="dxa"/>
            <w:noWrap/>
            <w:hideMark/>
          </w:tcPr>
          <w:p w14:paraId="2036A4A9" w14:textId="77777777" w:rsidR="00363AF3" w:rsidRPr="00363AF3" w:rsidRDefault="00363AF3" w:rsidP="005565B7">
            <w:pPr>
              <w:jc w:val="both"/>
            </w:pPr>
            <w:r w:rsidRPr="00363AF3">
              <w:t>8,379</w:t>
            </w:r>
          </w:p>
        </w:tc>
        <w:tc>
          <w:tcPr>
            <w:tcW w:w="1530" w:type="dxa"/>
            <w:noWrap/>
            <w:hideMark/>
          </w:tcPr>
          <w:p w14:paraId="6B57994B" w14:textId="77777777" w:rsidR="00363AF3" w:rsidRPr="00363AF3" w:rsidRDefault="00363AF3" w:rsidP="005565B7">
            <w:pPr>
              <w:jc w:val="both"/>
            </w:pPr>
            <w:r w:rsidRPr="00363AF3">
              <w:t>1,558</w:t>
            </w:r>
          </w:p>
        </w:tc>
        <w:tc>
          <w:tcPr>
            <w:tcW w:w="1615" w:type="dxa"/>
            <w:noWrap/>
            <w:hideMark/>
          </w:tcPr>
          <w:p w14:paraId="1AA0D167" w14:textId="77777777" w:rsidR="00363AF3" w:rsidRPr="00363AF3" w:rsidRDefault="00363AF3" w:rsidP="005565B7">
            <w:pPr>
              <w:jc w:val="both"/>
            </w:pPr>
            <w:r w:rsidRPr="00363AF3">
              <w:t>0.1%</w:t>
            </w:r>
          </w:p>
        </w:tc>
      </w:tr>
      <w:tr w:rsidR="00363AF3" w:rsidRPr="00363AF3" w14:paraId="2ECC3912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46EC592" w14:textId="77777777" w:rsidR="00363AF3" w:rsidRPr="00363AF3" w:rsidRDefault="00363AF3" w:rsidP="005565B7">
            <w:pPr>
              <w:jc w:val="both"/>
            </w:pPr>
            <w:r w:rsidRPr="00363AF3">
              <w:t>Ohio</w:t>
            </w:r>
          </w:p>
        </w:tc>
        <w:tc>
          <w:tcPr>
            <w:tcW w:w="1530" w:type="dxa"/>
            <w:noWrap/>
            <w:hideMark/>
          </w:tcPr>
          <w:p w14:paraId="189E36E7" w14:textId="77777777" w:rsidR="00363AF3" w:rsidRPr="00363AF3" w:rsidRDefault="00363AF3" w:rsidP="005565B7">
            <w:pPr>
              <w:jc w:val="both"/>
            </w:pPr>
            <w:r w:rsidRPr="00363AF3">
              <w:t>-34.8%</w:t>
            </w:r>
          </w:p>
        </w:tc>
        <w:tc>
          <w:tcPr>
            <w:tcW w:w="1710" w:type="dxa"/>
            <w:noWrap/>
            <w:hideMark/>
          </w:tcPr>
          <w:p w14:paraId="08ACECA0" w14:textId="77777777" w:rsidR="00363AF3" w:rsidRPr="00363AF3" w:rsidRDefault="00363AF3" w:rsidP="005565B7">
            <w:pPr>
              <w:jc w:val="both"/>
            </w:pPr>
            <w:r w:rsidRPr="00363AF3">
              <w:t>112,601</w:t>
            </w:r>
          </w:p>
        </w:tc>
        <w:tc>
          <w:tcPr>
            <w:tcW w:w="1530" w:type="dxa"/>
            <w:noWrap/>
            <w:hideMark/>
          </w:tcPr>
          <w:p w14:paraId="6CFE6C25" w14:textId="77777777" w:rsidR="00363AF3" w:rsidRPr="00363AF3" w:rsidRDefault="00363AF3" w:rsidP="005565B7">
            <w:pPr>
              <w:jc w:val="both"/>
            </w:pPr>
            <w:r w:rsidRPr="00363AF3">
              <w:t>29,501</w:t>
            </w:r>
          </w:p>
        </w:tc>
        <w:tc>
          <w:tcPr>
            <w:tcW w:w="1615" w:type="dxa"/>
            <w:noWrap/>
            <w:hideMark/>
          </w:tcPr>
          <w:p w14:paraId="7787C638" w14:textId="77777777" w:rsidR="00363AF3" w:rsidRPr="00363AF3" w:rsidRDefault="00363AF3" w:rsidP="005565B7">
            <w:pPr>
              <w:jc w:val="both"/>
            </w:pPr>
            <w:r w:rsidRPr="00363AF3">
              <w:t>2%</w:t>
            </w:r>
          </w:p>
        </w:tc>
      </w:tr>
      <w:tr w:rsidR="00363AF3" w:rsidRPr="00363AF3" w14:paraId="0B0486CB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6BB64293" w14:textId="77777777" w:rsidR="00363AF3" w:rsidRPr="00363AF3" w:rsidRDefault="00363AF3" w:rsidP="005565B7">
            <w:pPr>
              <w:jc w:val="both"/>
            </w:pPr>
            <w:r w:rsidRPr="00363AF3">
              <w:t>Oklahoma</w:t>
            </w:r>
          </w:p>
        </w:tc>
        <w:tc>
          <w:tcPr>
            <w:tcW w:w="1530" w:type="dxa"/>
            <w:noWrap/>
            <w:hideMark/>
          </w:tcPr>
          <w:p w14:paraId="4A24F5D7" w14:textId="77777777" w:rsidR="00363AF3" w:rsidRPr="00363AF3" w:rsidRDefault="00363AF3" w:rsidP="005565B7">
            <w:pPr>
              <w:jc w:val="both"/>
            </w:pPr>
            <w:r w:rsidRPr="00363AF3">
              <w:t>-39.5%</w:t>
            </w:r>
          </w:p>
        </w:tc>
        <w:tc>
          <w:tcPr>
            <w:tcW w:w="1710" w:type="dxa"/>
            <w:noWrap/>
            <w:hideMark/>
          </w:tcPr>
          <w:p w14:paraId="06F81D70" w14:textId="77777777" w:rsidR="00363AF3" w:rsidRPr="00363AF3" w:rsidRDefault="00363AF3" w:rsidP="005565B7">
            <w:pPr>
              <w:jc w:val="both"/>
            </w:pPr>
            <w:r w:rsidRPr="00363AF3">
              <w:t>75,447</w:t>
            </w:r>
          </w:p>
        </w:tc>
        <w:tc>
          <w:tcPr>
            <w:tcW w:w="1530" w:type="dxa"/>
            <w:noWrap/>
            <w:hideMark/>
          </w:tcPr>
          <w:p w14:paraId="778E0D7A" w14:textId="77777777" w:rsidR="00363AF3" w:rsidRPr="00363AF3" w:rsidRDefault="00363AF3" w:rsidP="005565B7">
            <w:pPr>
              <w:jc w:val="both"/>
            </w:pPr>
            <w:r w:rsidRPr="00363AF3">
              <w:t>12,977</w:t>
            </w:r>
          </w:p>
        </w:tc>
        <w:tc>
          <w:tcPr>
            <w:tcW w:w="1615" w:type="dxa"/>
            <w:noWrap/>
            <w:hideMark/>
          </w:tcPr>
          <w:p w14:paraId="1FA7FF94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5FB0B76C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47B3CBCC" w14:textId="77777777" w:rsidR="00363AF3" w:rsidRPr="00363AF3" w:rsidRDefault="00363AF3" w:rsidP="005565B7">
            <w:pPr>
              <w:jc w:val="both"/>
            </w:pPr>
            <w:r w:rsidRPr="00363AF3">
              <w:t>Oregon</w:t>
            </w:r>
          </w:p>
        </w:tc>
        <w:tc>
          <w:tcPr>
            <w:tcW w:w="1530" w:type="dxa"/>
            <w:noWrap/>
            <w:hideMark/>
          </w:tcPr>
          <w:p w14:paraId="579E37D6" w14:textId="77777777" w:rsidR="00363AF3" w:rsidRPr="00363AF3" w:rsidRDefault="00363AF3" w:rsidP="005565B7">
            <w:pPr>
              <w:jc w:val="both"/>
            </w:pPr>
            <w:r w:rsidRPr="00363AF3">
              <w:t>-31.1%</w:t>
            </w:r>
          </w:p>
        </w:tc>
        <w:tc>
          <w:tcPr>
            <w:tcW w:w="1710" w:type="dxa"/>
            <w:noWrap/>
            <w:hideMark/>
          </w:tcPr>
          <w:p w14:paraId="6BD0E7B4" w14:textId="77777777" w:rsidR="00363AF3" w:rsidRPr="00363AF3" w:rsidRDefault="00363AF3" w:rsidP="005565B7">
            <w:pPr>
              <w:jc w:val="both"/>
            </w:pPr>
            <w:r w:rsidRPr="00363AF3">
              <w:t>70,105</w:t>
            </w:r>
          </w:p>
        </w:tc>
        <w:tc>
          <w:tcPr>
            <w:tcW w:w="1530" w:type="dxa"/>
            <w:noWrap/>
            <w:hideMark/>
          </w:tcPr>
          <w:p w14:paraId="4855D1DC" w14:textId="77777777" w:rsidR="00363AF3" w:rsidRPr="00363AF3" w:rsidRDefault="00363AF3" w:rsidP="005565B7">
            <w:pPr>
              <w:jc w:val="both"/>
            </w:pPr>
            <w:r w:rsidRPr="00363AF3">
              <w:t>12,969</w:t>
            </w:r>
          </w:p>
        </w:tc>
        <w:tc>
          <w:tcPr>
            <w:tcW w:w="1615" w:type="dxa"/>
            <w:noWrap/>
            <w:hideMark/>
          </w:tcPr>
          <w:p w14:paraId="1F60CD4D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461F0B8F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197989C5" w14:textId="77777777" w:rsidR="00363AF3" w:rsidRPr="00363AF3" w:rsidRDefault="00363AF3" w:rsidP="005565B7">
            <w:pPr>
              <w:jc w:val="both"/>
            </w:pPr>
            <w:r w:rsidRPr="00363AF3">
              <w:t>Pennsylvania</w:t>
            </w:r>
          </w:p>
        </w:tc>
        <w:tc>
          <w:tcPr>
            <w:tcW w:w="1530" w:type="dxa"/>
            <w:noWrap/>
            <w:hideMark/>
          </w:tcPr>
          <w:p w14:paraId="66A714BE" w14:textId="77777777" w:rsidR="00363AF3" w:rsidRPr="00363AF3" w:rsidRDefault="00363AF3" w:rsidP="005565B7">
            <w:pPr>
              <w:jc w:val="both"/>
            </w:pPr>
            <w:r w:rsidRPr="00363AF3">
              <w:t>-5.6%</w:t>
            </w:r>
          </w:p>
        </w:tc>
        <w:tc>
          <w:tcPr>
            <w:tcW w:w="1710" w:type="dxa"/>
            <w:noWrap/>
            <w:hideMark/>
          </w:tcPr>
          <w:p w14:paraId="32D3B67C" w14:textId="77777777" w:rsidR="00363AF3" w:rsidRPr="00363AF3" w:rsidRDefault="00363AF3" w:rsidP="005565B7">
            <w:pPr>
              <w:jc w:val="both"/>
            </w:pPr>
            <w:r w:rsidRPr="00363AF3">
              <w:t>115,638</w:t>
            </w:r>
          </w:p>
        </w:tc>
        <w:tc>
          <w:tcPr>
            <w:tcW w:w="1530" w:type="dxa"/>
            <w:noWrap/>
            <w:hideMark/>
          </w:tcPr>
          <w:p w14:paraId="7F0C7761" w14:textId="77777777" w:rsidR="00363AF3" w:rsidRPr="00363AF3" w:rsidRDefault="00363AF3" w:rsidP="005565B7">
            <w:pPr>
              <w:jc w:val="both"/>
            </w:pPr>
            <w:r w:rsidRPr="00363AF3">
              <w:t>20,352</w:t>
            </w:r>
          </w:p>
        </w:tc>
        <w:tc>
          <w:tcPr>
            <w:tcW w:w="1615" w:type="dxa"/>
            <w:noWrap/>
            <w:hideMark/>
          </w:tcPr>
          <w:p w14:paraId="1C4CB741" w14:textId="77777777" w:rsidR="00363AF3" w:rsidRPr="00363AF3" w:rsidRDefault="00363AF3" w:rsidP="005565B7">
            <w:pPr>
              <w:jc w:val="both"/>
            </w:pPr>
            <w:r w:rsidRPr="00363AF3">
              <w:t>2%</w:t>
            </w:r>
          </w:p>
        </w:tc>
      </w:tr>
      <w:tr w:rsidR="00363AF3" w:rsidRPr="00363AF3" w14:paraId="0EABE73D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300B49B6" w14:textId="77777777" w:rsidR="00363AF3" w:rsidRPr="00363AF3" w:rsidRDefault="00363AF3" w:rsidP="005565B7">
            <w:pPr>
              <w:jc w:val="both"/>
            </w:pPr>
            <w:r w:rsidRPr="00363AF3">
              <w:t>Rhode Island</w:t>
            </w:r>
          </w:p>
        </w:tc>
        <w:tc>
          <w:tcPr>
            <w:tcW w:w="1530" w:type="dxa"/>
            <w:noWrap/>
            <w:hideMark/>
          </w:tcPr>
          <w:p w14:paraId="3C17A003" w14:textId="77777777" w:rsidR="00363AF3" w:rsidRPr="00363AF3" w:rsidRDefault="00363AF3" w:rsidP="005565B7">
            <w:pPr>
              <w:jc w:val="both"/>
            </w:pPr>
            <w:r w:rsidRPr="00363AF3">
              <w:t>-10.0%</w:t>
            </w:r>
          </w:p>
        </w:tc>
        <w:tc>
          <w:tcPr>
            <w:tcW w:w="1710" w:type="dxa"/>
            <w:noWrap/>
            <w:hideMark/>
          </w:tcPr>
          <w:p w14:paraId="71626535" w14:textId="77777777" w:rsidR="00363AF3" w:rsidRPr="00363AF3" w:rsidRDefault="00363AF3" w:rsidP="005565B7">
            <w:pPr>
              <w:jc w:val="both"/>
            </w:pPr>
            <w:r w:rsidRPr="00363AF3">
              <w:t>19,735</w:t>
            </w:r>
          </w:p>
        </w:tc>
        <w:tc>
          <w:tcPr>
            <w:tcW w:w="1530" w:type="dxa"/>
            <w:noWrap/>
            <w:hideMark/>
          </w:tcPr>
          <w:p w14:paraId="66D1A574" w14:textId="77777777" w:rsidR="00363AF3" w:rsidRPr="00363AF3" w:rsidRDefault="00363AF3" w:rsidP="005565B7">
            <w:pPr>
              <w:jc w:val="both"/>
            </w:pPr>
            <w:r w:rsidRPr="00363AF3">
              <w:t>1,914</w:t>
            </w:r>
          </w:p>
        </w:tc>
        <w:tc>
          <w:tcPr>
            <w:tcW w:w="1615" w:type="dxa"/>
            <w:noWrap/>
            <w:hideMark/>
          </w:tcPr>
          <w:p w14:paraId="13C52F15" w14:textId="77777777" w:rsidR="00363AF3" w:rsidRPr="00363AF3" w:rsidRDefault="00363AF3" w:rsidP="005565B7">
            <w:pPr>
              <w:jc w:val="both"/>
            </w:pPr>
            <w:r w:rsidRPr="00363AF3">
              <w:t>0.1%</w:t>
            </w:r>
          </w:p>
        </w:tc>
      </w:tr>
      <w:tr w:rsidR="00363AF3" w:rsidRPr="00363AF3" w14:paraId="267E869B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73D2C1E2" w14:textId="77777777" w:rsidR="00363AF3" w:rsidRPr="00363AF3" w:rsidRDefault="00363AF3" w:rsidP="005565B7">
            <w:pPr>
              <w:jc w:val="both"/>
            </w:pPr>
            <w:r w:rsidRPr="00363AF3">
              <w:t>Utah</w:t>
            </w:r>
          </w:p>
        </w:tc>
        <w:tc>
          <w:tcPr>
            <w:tcW w:w="1530" w:type="dxa"/>
            <w:noWrap/>
            <w:hideMark/>
          </w:tcPr>
          <w:p w14:paraId="7764FA2D" w14:textId="77777777" w:rsidR="00363AF3" w:rsidRPr="00363AF3" w:rsidRDefault="00363AF3" w:rsidP="005565B7">
            <w:pPr>
              <w:jc w:val="both"/>
            </w:pPr>
            <w:r w:rsidRPr="00363AF3">
              <w:t>-12.5%</w:t>
            </w:r>
          </w:p>
        </w:tc>
        <w:tc>
          <w:tcPr>
            <w:tcW w:w="1710" w:type="dxa"/>
            <w:noWrap/>
            <w:hideMark/>
          </w:tcPr>
          <w:p w14:paraId="77DE92F2" w14:textId="77777777" w:rsidR="00363AF3" w:rsidRPr="00363AF3" w:rsidRDefault="00363AF3" w:rsidP="005565B7">
            <w:pPr>
              <w:jc w:val="both"/>
            </w:pPr>
            <w:r w:rsidRPr="00363AF3">
              <w:t>74,182</w:t>
            </w:r>
          </w:p>
        </w:tc>
        <w:tc>
          <w:tcPr>
            <w:tcW w:w="1530" w:type="dxa"/>
            <w:noWrap/>
            <w:hideMark/>
          </w:tcPr>
          <w:p w14:paraId="30B83ED5" w14:textId="77777777" w:rsidR="00363AF3" w:rsidRPr="00363AF3" w:rsidRDefault="00363AF3" w:rsidP="005565B7">
            <w:pPr>
              <w:jc w:val="both"/>
            </w:pPr>
            <w:r w:rsidRPr="00363AF3">
              <w:t>4,154</w:t>
            </w:r>
          </w:p>
        </w:tc>
        <w:tc>
          <w:tcPr>
            <w:tcW w:w="1615" w:type="dxa"/>
            <w:noWrap/>
            <w:hideMark/>
          </w:tcPr>
          <w:p w14:paraId="274F4108" w14:textId="77777777" w:rsidR="00363AF3" w:rsidRPr="00363AF3" w:rsidRDefault="00363AF3" w:rsidP="005565B7">
            <w:pPr>
              <w:jc w:val="both"/>
            </w:pPr>
            <w:r w:rsidRPr="00363AF3">
              <w:t>0.3%</w:t>
            </w:r>
          </w:p>
        </w:tc>
      </w:tr>
      <w:tr w:rsidR="00363AF3" w:rsidRPr="00363AF3" w14:paraId="2D9A2D5A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5EFEB2B6" w14:textId="77777777" w:rsidR="00363AF3" w:rsidRPr="00363AF3" w:rsidRDefault="00363AF3" w:rsidP="005565B7">
            <w:pPr>
              <w:jc w:val="both"/>
            </w:pPr>
            <w:r w:rsidRPr="00363AF3">
              <w:t>Vermont</w:t>
            </w:r>
          </w:p>
        </w:tc>
        <w:tc>
          <w:tcPr>
            <w:tcW w:w="1530" w:type="dxa"/>
            <w:noWrap/>
            <w:hideMark/>
          </w:tcPr>
          <w:p w14:paraId="6C1AD81E" w14:textId="77777777" w:rsidR="00363AF3" w:rsidRPr="00363AF3" w:rsidRDefault="00363AF3" w:rsidP="005565B7">
            <w:pPr>
              <w:jc w:val="both"/>
            </w:pPr>
            <w:r w:rsidRPr="00363AF3">
              <w:t>-18.1%</w:t>
            </w:r>
          </w:p>
        </w:tc>
        <w:tc>
          <w:tcPr>
            <w:tcW w:w="1710" w:type="dxa"/>
            <w:noWrap/>
            <w:hideMark/>
          </w:tcPr>
          <w:p w14:paraId="5CE1D53B" w14:textId="77777777" w:rsidR="00363AF3" w:rsidRPr="00363AF3" w:rsidRDefault="00363AF3" w:rsidP="005565B7">
            <w:pPr>
              <w:jc w:val="both"/>
            </w:pPr>
            <w:r w:rsidRPr="00363AF3">
              <w:t>12,716</w:t>
            </w:r>
          </w:p>
        </w:tc>
        <w:tc>
          <w:tcPr>
            <w:tcW w:w="1530" w:type="dxa"/>
            <w:noWrap/>
            <w:hideMark/>
          </w:tcPr>
          <w:p w14:paraId="5EBE2CA5" w14:textId="77777777" w:rsidR="00363AF3" w:rsidRPr="00363AF3" w:rsidRDefault="00363AF3" w:rsidP="005565B7">
            <w:pPr>
              <w:jc w:val="both"/>
            </w:pPr>
            <w:r w:rsidRPr="00363AF3">
              <w:t>1,272</w:t>
            </w:r>
          </w:p>
        </w:tc>
        <w:tc>
          <w:tcPr>
            <w:tcW w:w="1615" w:type="dxa"/>
            <w:noWrap/>
            <w:hideMark/>
          </w:tcPr>
          <w:p w14:paraId="40C3AB94" w14:textId="77777777" w:rsidR="00363AF3" w:rsidRPr="00363AF3" w:rsidRDefault="00363AF3" w:rsidP="005565B7">
            <w:pPr>
              <w:jc w:val="both"/>
            </w:pPr>
            <w:r w:rsidRPr="00363AF3">
              <w:t>0.1%</w:t>
            </w:r>
          </w:p>
        </w:tc>
      </w:tr>
      <w:tr w:rsidR="00363AF3" w:rsidRPr="00363AF3" w14:paraId="37114B49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0ECA8E58" w14:textId="77777777" w:rsidR="00363AF3" w:rsidRPr="00363AF3" w:rsidRDefault="00363AF3" w:rsidP="005565B7">
            <w:pPr>
              <w:jc w:val="both"/>
            </w:pPr>
            <w:r w:rsidRPr="00363AF3">
              <w:t>Virginia</w:t>
            </w:r>
          </w:p>
        </w:tc>
        <w:tc>
          <w:tcPr>
            <w:tcW w:w="1530" w:type="dxa"/>
            <w:noWrap/>
            <w:hideMark/>
          </w:tcPr>
          <w:p w14:paraId="0BC385BC" w14:textId="77777777" w:rsidR="00363AF3" w:rsidRPr="00363AF3" w:rsidRDefault="00363AF3" w:rsidP="005565B7">
            <w:pPr>
              <w:jc w:val="both"/>
            </w:pPr>
            <w:r w:rsidRPr="00363AF3">
              <w:t>-28.3%</w:t>
            </w:r>
          </w:p>
        </w:tc>
        <w:tc>
          <w:tcPr>
            <w:tcW w:w="1710" w:type="dxa"/>
            <w:noWrap/>
            <w:hideMark/>
          </w:tcPr>
          <w:p w14:paraId="66EE46E0" w14:textId="77777777" w:rsidR="00363AF3" w:rsidRPr="00363AF3" w:rsidRDefault="00363AF3" w:rsidP="005565B7">
            <w:pPr>
              <w:jc w:val="both"/>
            </w:pPr>
            <w:r w:rsidRPr="00363AF3">
              <w:t>90,151</w:t>
            </w:r>
          </w:p>
        </w:tc>
        <w:tc>
          <w:tcPr>
            <w:tcW w:w="1530" w:type="dxa"/>
            <w:noWrap/>
            <w:hideMark/>
          </w:tcPr>
          <w:p w14:paraId="5E21E773" w14:textId="77777777" w:rsidR="00363AF3" w:rsidRPr="00363AF3" w:rsidRDefault="00363AF3" w:rsidP="005565B7">
            <w:pPr>
              <w:jc w:val="both"/>
            </w:pPr>
            <w:r w:rsidRPr="00363AF3">
              <w:t>11,269</w:t>
            </w:r>
          </w:p>
        </w:tc>
        <w:tc>
          <w:tcPr>
            <w:tcW w:w="1615" w:type="dxa"/>
            <w:noWrap/>
            <w:hideMark/>
          </w:tcPr>
          <w:p w14:paraId="55B90C14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72AC5599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D81F834" w14:textId="77777777" w:rsidR="00363AF3" w:rsidRPr="00363AF3" w:rsidRDefault="00363AF3" w:rsidP="005565B7">
            <w:pPr>
              <w:jc w:val="both"/>
            </w:pPr>
            <w:r w:rsidRPr="00363AF3">
              <w:t>Washington</w:t>
            </w:r>
          </w:p>
        </w:tc>
        <w:tc>
          <w:tcPr>
            <w:tcW w:w="1530" w:type="dxa"/>
            <w:noWrap/>
            <w:hideMark/>
          </w:tcPr>
          <w:p w14:paraId="6E1B9DB5" w14:textId="77777777" w:rsidR="00363AF3" w:rsidRPr="00363AF3" w:rsidRDefault="00363AF3" w:rsidP="005565B7">
            <w:pPr>
              <w:jc w:val="both"/>
            </w:pPr>
            <w:r w:rsidRPr="00363AF3">
              <w:t>-10.6%</w:t>
            </w:r>
          </w:p>
        </w:tc>
        <w:tc>
          <w:tcPr>
            <w:tcW w:w="1710" w:type="dxa"/>
            <w:noWrap/>
            <w:hideMark/>
          </w:tcPr>
          <w:p w14:paraId="347E1926" w14:textId="77777777" w:rsidR="00363AF3" w:rsidRPr="00363AF3" w:rsidRDefault="00363AF3" w:rsidP="005565B7">
            <w:pPr>
              <w:jc w:val="both"/>
            </w:pPr>
            <w:r w:rsidRPr="00363AF3">
              <w:t>193,588</w:t>
            </w:r>
          </w:p>
        </w:tc>
        <w:tc>
          <w:tcPr>
            <w:tcW w:w="1530" w:type="dxa"/>
            <w:noWrap/>
            <w:hideMark/>
          </w:tcPr>
          <w:p w14:paraId="64978BF6" w14:textId="77777777" w:rsidR="00363AF3" w:rsidRPr="00363AF3" w:rsidRDefault="00363AF3" w:rsidP="005565B7">
            <w:pPr>
              <w:jc w:val="both"/>
            </w:pPr>
            <w:r w:rsidRPr="00363AF3">
              <w:t>35,039</w:t>
            </w:r>
          </w:p>
        </w:tc>
        <w:tc>
          <w:tcPr>
            <w:tcW w:w="1615" w:type="dxa"/>
            <w:noWrap/>
            <w:hideMark/>
          </w:tcPr>
          <w:p w14:paraId="24E14F4F" w14:textId="77777777" w:rsidR="00363AF3" w:rsidRPr="00363AF3" w:rsidRDefault="00363AF3" w:rsidP="005565B7">
            <w:pPr>
              <w:jc w:val="both"/>
            </w:pPr>
            <w:r w:rsidRPr="00363AF3">
              <w:t>3%</w:t>
            </w:r>
          </w:p>
        </w:tc>
      </w:tr>
      <w:tr w:rsidR="00363AF3" w:rsidRPr="00363AF3" w14:paraId="0DB417ED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585CCEDC" w14:textId="77777777" w:rsidR="00363AF3" w:rsidRPr="00363AF3" w:rsidRDefault="00363AF3" w:rsidP="005565B7">
            <w:pPr>
              <w:jc w:val="both"/>
            </w:pPr>
            <w:r w:rsidRPr="00363AF3">
              <w:t>West Virginia</w:t>
            </w:r>
          </w:p>
        </w:tc>
        <w:tc>
          <w:tcPr>
            <w:tcW w:w="1530" w:type="dxa"/>
            <w:noWrap/>
            <w:hideMark/>
          </w:tcPr>
          <w:p w14:paraId="7B78A68F" w14:textId="77777777" w:rsidR="00363AF3" w:rsidRPr="00363AF3" w:rsidRDefault="00363AF3" w:rsidP="005565B7">
            <w:pPr>
              <w:jc w:val="both"/>
            </w:pPr>
            <w:r w:rsidRPr="00363AF3">
              <w:t>-18.8%</w:t>
            </w:r>
          </w:p>
        </w:tc>
        <w:tc>
          <w:tcPr>
            <w:tcW w:w="1710" w:type="dxa"/>
            <w:noWrap/>
            <w:hideMark/>
          </w:tcPr>
          <w:p w14:paraId="5E9AB794" w14:textId="77777777" w:rsidR="00363AF3" w:rsidRPr="00363AF3" w:rsidRDefault="00363AF3" w:rsidP="005565B7">
            <w:pPr>
              <w:jc w:val="both"/>
            </w:pPr>
            <w:r w:rsidRPr="00363AF3">
              <w:t>44,421</w:t>
            </w:r>
          </w:p>
        </w:tc>
        <w:tc>
          <w:tcPr>
            <w:tcW w:w="1530" w:type="dxa"/>
            <w:noWrap/>
            <w:hideMark/>
          </w:tcPr>
          <w:p w14:paraId="70819DE0" w14:textId="77777777" w:rsidR="00363AF3" w:rsidRPr="00363AF3" w:rsidRDefault="00363AF3" w:rsidP="005565B7">
            <w:pPr>
              <w:jc w:val="both"/>
            </w:pPr>
            <w:r w:rsidRPr="00363AF3">
              <w:t>12,571</w:t>
            </w:r>
          </w:p>
        </w:tc>
        <w:tc>
          <w:tcPr>
            <w:tcW w:w="1615" w:type="dxa"/>
            <w:noWrap/>
            <w:hideMark/>
          </w:tcPr>
          <w:p w14:paraId="379296E8" w14:textId="77777777" w:rsidR="00363AF3" w:rsidRPr="00363AF3" w:rsidRDefault="00363AF3" w:rsidP="005565B7">
            <w:pPr>
              <w:jc w:val="both"/>
            </w:pPr>
            <w:r w:rsidRPr="00363AF3">
              <w:t>1%</w:t>
            </w:r>
          </w:p>
        </w:tc>
      </w:tr>
      <w:tr w:rsidR="00363AF3" w:rsidRPr="00363AF3" w14:paraId="3CD3EEA0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5106AA2D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Medicaid expansion states</w:t>
            </w:r>
          </w:p>
        </w:tc>
        <w:tc>
          <w:tcPr>
            <w:tcW w:w="1530" w:type="dxa"/>
            <w:noWrap/>
            <w:hideMark/>
          </w:tcPr>
          <w:p w14:paraId="07BB5A57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14:paraId="398574DA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3,935,021</w:t>
            </w:r>
          </w:p>
        </w:tc>
        <w:tc>
          <w:tcPr>
            <w:tcW w:w="1530" w:type="dxa"/>
            <w:noWrap/>
            <w:hideMark/>
          </w:tcPr>
          <w:p w14:paraId="4FE0A058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597,453</w:t>
            </w:r>
          </w:p>
        </w:tc>
        <w:tc>
          <w:tcPr>
            <w:tcW w:w="1615" w:type="dxa"/>
            <w:noWrap/>
            <w:hideMark/>
          </w:tcPr>
          <w:p w14:paraId="77741EF1" w14:textId="77777777" w:rsidR="00363AF3" w:rsidRPr="009A444E" w:rsidRDefault="00363AF3" w:rsidP="005565B7">
            <w:pPr>
              <w:jc w:val="both"/>
              <w:rPr>
                <w:b/>
              </w:rPr>
            </w:pPr>
            <w:r w:rsidRPr="009A444E">
              <w:rPr>
                <w:b/>
              </w:rPr>
              <w:t>45%</w:t>
            </w:r>
          </w:p>
        </w:tc>
      </w:tr>
      <w:tr w:rsidR="00363AF3" w:rsidRPr="00363AF3" w14:paraId="5263CD71" w14:textId="77777777" w:rsidTr="00363AF3">
        <w:trPr>
          <w:trHeight w:val="300"/>
        </w:trPr>
        <w:tc>
          <w:tcPr>
            <w:tcW w:w="2965" w:type="dxa"/>
            <w:noWrap/>
            <w:hideMark/>
          </w:tcPr>
          <w:p w14:paraId="29763955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 xml:space="preserve">Sum total for 50 states </w:t>
            </w:r>
            <w:r w:rsidR="009A444E">
              <w:rPr>
                <w:b/>
                <w:bCs/>
              </w:rPr>
              <w:t xml:space="preserve">&amp; </w:t>
            </w:r>
            <w:r w:rsidRPr="00363AF3">
              <w:rPr>
                <w:b/>
                <w:bCs/>
              </w:rPr>
              <w:t xml:space="preserve">DC </w:t>
            </w:r>
          </w:p>
        </w:tc>
        <w:tc>
          <w:tcPr>
            <w:tcW w:w="1530" w:type="dxa"/>
            <w:noWrap/>
            <w:hideMark/>
          </w:tcPr>
          <w:p w14:paraId="3782371D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14:paraId="19892715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6,150,645</w:t>
            </w:r>
          </w:p>
        </w:tc>
        <w:tc>
          <w:tcPr>
            <w:tcW w:w="1530" w:type="dxa"/>
            <w:noWrap/>
            <w:hideMark/>
          </w:tcPr>
          <w:p w14:paraId="3DAD1869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  <w:r w:rsidRPr="00363AF3">
              <w:rPr>
                <w:b/>
                <w:bCs/>
              </w:rPr>
              <w:t>1,335,912</w:t>
            </w:r>
          </w:p>
        </w:tc>
        <w:tc>
          <w:tcPr>
            <w:tcW w:w="1615" w:type="dxa"/>
            <w:noWrap/>
            <w:hideMark/>
          </w:tcPr>
          <w:p w14:paraId="348E4E6F" w14:textId="77777777" w:rsidR="00363AF3" w:rsidRPr="00363AF3" w:rsidRDefault="00363AF3" w:rsidP="005565B7">
            <w:pPr>
              <w:jc w:val="both"/>
              <w:rPr>
                <w:b/>
                <w:bCs/>
              </w:rPr>
            </w:pPr>
          </w:p>
        </w:tc>
      </w:tr>
    </w:tbl>
    <w:p w14:paraId="59CD4F13" w14:textId="77777777" w:rsidR="00363AF3" w:rsidRDefault="009A444E" w:rsidP="005565B7">
      <w:pPr>
        <w:jc w:val="both"/>
      </w:pPr>
      <w:r>
        <w:t xml:space="preserve">Sources: GW analysis of 2020 UDS data, Health Resources and Services Administration; </w:t>
      </w:r>
      <w:proofErr w:type="spellStart"/>
      <w:r w:rsidRPr="009A444E">
        <w:t>Banthin</w:t>
      </w:r>
      <w:proofErr w:type="spellEnd"/>
      <w:r w:rsidRPr="009A444E">
        <w:t>, Simpson, &amp; Green, 2021.</w:t>
      </w:r>
    </w:p>
    <w:p w14:paraId="345F82BD" w14:textId="77777777" w:rsidR="009A444E" w:rsidRPr="009A444E" w:rsidRDefault="009A444E" w:rsidP="005565B7">
      <w:pPr>
        <w:jc w:val="both"/>
        <w:rPr>
          <w:b/>
        </w:rPr>
      </w:pPr>
      <w:r w:rsidRPr="009A444E">
        <w:rPr>
          <w:b/>
        </w:rPr>
        <w:t xml:space="preserve">Limitations </w:t>
      </w:r>
    </w:p>
    <w:p w14:paraId="4F2769A5" w14:textId="2C228958" w:rsidR="00363AF3" w:rsidRDefault="009A444E" w:rsidP="005565B7">
      <w:pPr>
        <w:jc w:val="both"/>
      </w:pPr>
      <w:r>
        <w:t xml:space="preserve">The state estimates on which this analysis </w:t>
      </w:r>
      <w:proofErr w:type="gramStart"/>
      <w:r>
        <w:t>were</w:t>
      </w:r>
      <w:proofErr w:type="gramEnd"/>
      <w:r>
        <w:t xml:space="preserve"> based did not distinguish between insurance gains from Marketplace coverage and incidental Medicaid/CHIP coverage. Therefore, </w:t>
      </w:r>
      <w:r w:rsidR="009341E1">
        <w:t>while</w:t>
      </w:r>
      <w:r>
        <w:t xml:space="preserve"> the vast majority of insurance gains </w:t>
      </w:r>
      <w:r w:rsidR="00177486">
        <w:t xml:space="preserve">from BBB reforms </w:t>
      </w:r>
      <w:r>
        <w:t xml:space="preserve">are expected to be through Marketplace coverage, it is not possible to </w:t>
      </w:r>
      <w:r w:rsidR="00C37CDC">
        <w:t xml:space="preserve">differentiate </w:t>
      </w:r>
      <w:r>
        <w:t>the number of health center patients who will gain Marketplace or Medicaid/CHIP coverage.</w:t>
      </w:r>
      <w:r w:rsidR="00033265">
        <w:t xml:space="preserve"> The coverage gains are expected to increase health center revenue</w:t>
      </w:r>
      <w:r w:rsidR="00B06722">
        <w:t>, which ought to lead to some additional increase in patient care</w:t>
      </w:r>
      <w:r w:rsidR="00033265">
        <w:t xml:space="preserve"> capacity</w:t>
      </w:r>
      <w:r w:rsidR="00B06722">
        <w:t xml:space="preserve"> across the board </w:t>
      </w:r>
      <w:r w:rsidR="00F30AD1">
        <w:t xml:space="preserve">from 2022 to 2025. </w:t>
      </w:r>
      <w:r w:rsidR="00B06722">
        <w:t>H</w:t>
      </w:r>
      <w:r w:rsidR="00033265">
        <w:t>owever, M</w:t>
      </w:r>
      <w:r w:rsidR="00033265" w:rsidRPr="00033265">
        <w:t>arketplace insurance does not have the enhanced payment rates associated with Medicaid and could require co</w:t>
      </w:r>
      <w:r w:rsidR="00033265">
        <w:t>-</w:t>
      </w:r>
      <w:r w:rsidR="00033265" w:rsidRPr="00033265">
        <w:t>payments,</w:t>
      </w:r>
      <w:r w:rsidR="00033265">
        <w:t xml:space="preserve"> </w:t>
      </w:r>
      <w:r w:rsidR="00033265" w:rsidRPr="00033265">
        <w:t>although the BBB expansions have strict cost-sharing limits, particularly for those with incomes below 150</w:t>
      </w:r>
      <w:r w:rsidR="00E16049">
        <w:t xml:space="preserve"> percent</w:t>
      </w:r>
      <w:r w:rsidR="00033265" w:rsidRPr="00033265">
        <w:t xml:space="preserve"> of poverty.</w:t>
      </w:r>
    </w:p>
    <w:p w14:paraId="360CC8BE" w14:textId="77777777" w:rsidR="009A444E" w:rsidRDefault="009A444E" w:rsidP="005565B7">
      <w:pPr>
        <w:jc w:val="both"/>
        <w:rPr>
          <w:b/>
        </w:rPr>
      </w:pPr>
      <w:r>
        <w:rPr>
          <w:b/>
        </w:rPr>
        <w:t xml:space="preserve">Conclusion </w:t>
      </w:r>
    </w:p>
    <w:p w14:paraId="300B649E" w14:textId="08848EDA" w:rsidR="00DA26DA" w:rsidRDefault="00177486" w:rsidP="005565B7">
      <w:pPr>
        <w:jc w:val="both"/>
      </w:pPr>
      <w:r>
        <w:t xml:space="preserve">The insurance reforms expected to be included in the BBB legislation could provide substantial gains in insurance coverage for </w:t>
      </w:r>
      <w:r w:rsidR="00C37CDC">
        <w:t>community health center</w:t>
      </w:r>
      <w:r w:rsidR="009C6393">
        <w:t xml:space="preserve"> </w:t>
      </w:r>
      <w:r>
        <w:t xml:space="preserve">patients, most of whom are low-income and </w:t>
      </w:r>
      <w:r w:rsidR="00E16049">
        <w:t>more than</w:t>
      </w:r>
      <w:r>
        <w:t xml:space="preserve"> </w:t>
      </w:r>
      <w:r w:rsidR="009C6393">
        <w:t xml:space="preserve">1 in 5 </w:t>
      </w:r>
      <w:r w:rsidR="00C37CDC">
        <w:t xml:space="preserve">of whom </w:t>
      </w:r>
      <w:r>
        <w:t>are uninsured.</w:t>
      </w:r>
      <w:r>
        <w:rPr>
          <w:rStyle w:val="FootnoteReference"/>
        </w:rPr>
        <w:footnoteReference w:id="10"/>
      </w:r>
      <w:r w:rsidR="005632F4">
        <w:t xml:space="preserve"> The potential health insurance reforms are especially important for poor, uninsured health center patients who live in non-expansion states</w:t>
      </w:r>
      <w:r w:rsidR="00C91E22">
        <w:t xml:space="preserve">, </w:t>
      </w:r>
      <w:r w:rsidR="009C6393">
        <w:t>who fall into the</w:t>
      </w:r>
      <w:r w:rsidR="005632F4">
        <w:t xml:space="preserve"> coverage gap</w:t>
      </w:r>
      <w:r w:rsidR="009C6393">
        <w:t xml:space="preserve"> and who remain completely uninsured. </w:t>
      </w:r>
    </w:p>
    <w:sectPr w:rsidR="00DA26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E25E" w14:textId="77777777" w:rsidR="005F25E3" w:rsidRDefault="005F25E3" w:rsidP="00B659E6">
      <w:pPr>
        <w:spacing w:after="0" w:line="240" w:lineRule="auto"/>
      </w:pPr>
      <w:r>
        <w:separator/>
      </w:r>
    </w:p>
  </w:endnote>
  <w:endnote w:type="continuationSeparator" w:id="0">
    <w:p w14:paraId="225FF620" w14:textId="77777777" w:rsidR="005F25E3" w:rsidRDefault="005F25E3" w:rsidP="00B6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5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5C8D5" w14:textId="0FFD5BF8" w:rsidR="009A444E" w:rsidRDefault="009A4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68B43" w14:textId="77777777" w:rsidR="009A444E" w:rsidRDefault="009A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E142" w14:textId="77777777" w:rsidR="005F25E3" w:rsidRDefault="005F25E3" w:rsidP="00B659E6">
      <w:pPr>
        <w:spacing w:after="0" w:line="240" w:lineRule="auto"/>
      </w:pPr>
      <w:r>
        <w:separator/>
      </w:r>
    </w:p>
  </w:footnote>
  <w:footnote w:type="continuationSeparator" w:id="0">
    <w:p w14:paraId="4D69E478" w14:textId="77777777" w:rsidR="005F25E3" w:rsidRDefault="005F25E3" w:rsidP="00B659E6">
      <w:pPr>
        <w:spacing w:after="0" w:line="240" w:lineRule="auto"/>
      </w:pPr>
      <w:r>
        <w:continuationSeparator/>
      </w:r>
    </w:p>
  </w:footnote>
  <w:footnote w:id="1">
    <w:p w14:paraId="02E2BF02" w14:textId="07840245" w:rsidR="00804F98" w:rsidRDefault="00804F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0B02" w:rsidRPr="00154E3E">
        <w:t xml:space="preserve">Health Resources and Services Administration. (2021). 2020 Health Center Data: National Data </w:t>
      </w:r>
      <w:hyperlink r:id="rId1" w:history="1">
        <w:r w:rsidR="00D40B02" w:rsidRPr="00AB641D">
          <w:rPr>
            <w:rStyle w:val="Hyperlink"/>
          </w:rPr>
          <w:t>https://data.hrsa.gov/tools/data-reporting/program-data/national/table?tableName=Full&amp;year=2020</w:t>
        </w:r>
      </w:hyperlink>
    </w:p>
  </w:footnote>
  <w:footnote w:id="2">
    <w:p w14:paraId="4FC65C62" w14:textId="5A21666F" w:rsidR="00804F98" w:rsidRDefault="00804F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6369" w:rsidRPr="000F6369">
        <w:t xml:space="preserve">Markus, A., Sharac, J., Tolbert, J., Rosenbaum, S., &amp; </w:t>
      </w:r>
      <w:proofErr w:type="spellStart"/>
      <w:r w:rsidR="000F6369" w:rsidRPr="000F6369">
        <w:t>Zur</w:t>
      </w:r>
      <w:proofErr w:type="spellEnd"/>
      <w:r w:rsidR="000F6369" w:rsidRPr="000F6369">
        <w:t>, J. (2018). Community health centers’ experiences in a more mature ACA market. Kaiser Family Foundation. https://www.kff.org/medicaid/issue-brief/community-health-centers-experiences-in-a-more-mature-aca-market/</w:t>
      </w:r>
    </w:p>
  </w:footnote>
  <w:footnote w:id="3">
    <w:p w14:paraId="49465227" w14:textId="7C69A489" w:rsidR="00B06722" w:rsidRDefault="00B06722" w:rsidP="00B06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0AD1" w:rsidRPr="00F30AD1">
        <w:t>House Rules Committee</w:t>
      </w:r>
      <w:r w:rsidR="00F30AD1">
        <w:t>. (</w:t>
      </w:r>
      <w:r w:rsidR="00F30AD1" w:rsidRPr="00F30AD1">
        <w:t>Oct. 28, 2021</w:t>
      </w:r>
      <w:r w:rsidR="00F30AD1">
        <w:t>).</w:t>
      </w:r>
      <w:r w:rsidR="00F30AD1" w:rsidRPr="00F30AD1">
        <w:t xml:space="preserve"> Text of H</w:t>
      </w:r>
      <w:r w:rsidR="00F30AD1">
        <w:t>.R. 5376, Build Back Better Act</w:t>
      </w:r>
      <w:r w:rsidR="00F30AD1" w:rsidRPr="00F30AD1">
        <w:t>.</w:t>
      </w:r>
      <w:r w:rsidR="00F30AD1">
        <w:t xml:space="preserve"> </w:t>
      </w:r>
      <w:hyperlink r:id="rId2" w:history="1">
        <w:r w:rsidR="00F30AD1" w:rsidRPr="009833BF">
          <w:rPr>
            <w:rStyle w:val="Hyperlink"/>
          </w:rPr>
          <w:t>https://rules.house.gov/sites/democrats.rules.house.gov/files/BILLS-117HR5376RH-RCP117-17.pdf</w:t>
        </w:r>
      </w:hyperlink>
      <w:r w:rsidR="00F30AD1">
        <w:t xml:space="preserve">; </w:t>
      </w:r>
      <w:r w:rsidR="00F30AD1" w:rsidRPr="00F30AD1">
        <w:t>Build Back Better Act — Rules Committee Print Section-By-Section, Oct. 28, 2021.</w:t>
      </w:r>
      <w:r w:rsidR="00F30AD1">
        <w:t xml:space="preserve"> </w:t>
      </w:r>
      <w:hyperlink r:id="rId3" w:history="1">
        <w:r w:rsidR="00F30AD1" w:rsidRPr="009833BF">
          <w:rPr>
            <w:rStyle w:val="Hyperlink"/>
          </w:rPr>
          <w:t>https://rules.house.gov/sites/democrats.rules.house.gov/files/Section_by_Section_BBB.pdf</w:t>
        </w:r>
      </w:hyperlink>
      <w:r w:rsidR="00F30AD1">
        <w:t xml:space="preserve"> </w:t>
      </w:r>
    </w:p>
  </w:footnote>
  <w:footnote w:id="4">
    <w:p w14:paraId="07D2FF56" w14:textId="77777777" w:rsidR="00DA26DA" w:rsidRDefault="00DA26DA">
      <w:pPr>
        <w:pStyle w:val="FootnoteText"/>
      </w:pPr>
      <w:r>
        <w:rPr>
          <w:rStyle w:val="FootnoteReference"/>
        </w:rPr>
        <w:footnoteRef/>
      </w:r>
      <w:r>
        <w:t xml:space="preserve"> Garfield, R., </w:t>
      </w:r>
      <w:proofErr w:type="spellStart"/>
      <w:r>
        <w:t>Orgera</w:t>
      </w:r>
      <w:proofErr w:type="spellEnd"/>
      <w:r>
        <w:t xml:space="preserve">, K., &amp; Damico, A. (2021). </w:t>
      </w:r>
      <w:r w:rsidRPr="00DA26DA">
        <w:t>The Coverage Gap: Uninsured Poor Adults in States that Do Not Expand Medicaid</w:t>
      </w:r>
      <w:r>
        <w:t xml:space="preserve">. </w:t>
      </w:r>
      <w:hyperlink r:id="rId4" w:history="1">
        <w:r w:rsidRPr="00AE4CD7">
          <w:rPr>
            <w:rStyle w:val="Hyperlink"/>
          </w:rPr>
          <w:t>https://www.kff.org/medicaid/issue-brief/the-coverage-gap-uninsured-poor-adults-in-states-that-do-not-expand-medicaid/</w:t>
        </w:r>
      </w:hyperlink>
      <w:r>
        <w:t xml:space="preserve"> </w:t>
      </w:r>
    </w:p>
  </w:footnote>
  <w:footnote w:id="5">
    <w:p w14:paraId="449A47A8" w14:textId="77777777" w:rsidR="00DA26DA" w:rsidRDefault="00DA26DA">
      <w:pPr>
        <w:pStyle w:val="FootnoteText"/>
      </w:pPr>
      <w:r>
        <w:rPr>
          <w:rStyle w:val="FootnoteReference"/>
        </w:rPr>
        <w:footnoteRef/>
      </w:r>
      <w:r>
        <w:t xml:space="preserve"> Office of the </w:t>
      </w:r>
      <w:r w:rsidRPr="00DA26DA">
        <w:t>Assistant Secretary for Planning and Evaluation</w:t>
      </w:r>
      <w:r>
        <w:t xml:space="preserve"> (ASPE). (2021). </w:t>
      </w:r>
      <w:r w:rsidRPr="00DA26DA">
        <w:t>2021 Poverty Guidelines</w:t>
      </w:r>
      <w:r>
        <w:t xml:space="preserve">. </w:t>
      </w:r>
      <w:hyperlink r:id="rId5" w:history="1">
        <w:r w:rsidRPr="00AE4CD7">
          <w:rPr>
            <w:rStyle w:val="Hyperlink"/>
          </w:rPr>
          <w:t>https://aspe.hhs.gov/topics/poverty-economic-mobility/poverty-guidelines/prior-hhs-poverty-guidelines-federal-register-references/2021-poverty-guidelines</w:t>
        </w:r>
      </w:hyperlink>
      <w:r>
        <w:t xml:space="preserve"> </w:t>
      </w:r>
    </w:p>
  </w:footnote>
  <w:footnote w:id="6">
    <w:p w14:paraId="6DBBC175" w14:textId="76A15188" w:rsidR="00156B4A" w:rsidRDefault="00156B4A" w:rsidP="00D443CC">
      <w:pPr>
        <w:pStyle w:val="FootnoteText"/>
        <w:tabs>
          <w:tab w:val="left" w:pos="7610"/>
        </w:tabs>
      </w:pPr>
      <w:r>
        <w:rPr>
          <w:rStyle w:val="FootnoteReference"/>
        </w:rPr>
        <w:footnoteRef/>
      </w:r>
      <w:r>
        <w:t xml:space="preserve"> </w:t>
      </w:r>
      <w:proofErr w:type="spellStart"/>
      <w:r w:rsidR="00033265" w:rsidRPr="00033265">
        <w:t>Banthin</w:t>
      </w:r>
      <w:proofErr w:type="spellEnd"/>
      <w:r w:rsidR="00033265" w:rsidRPr="00033265">
        <w:t xml:space="preserve">, J.S., Simpson, M., &amp; Green, A. (September 2021, updated October 5, 2021). The Coverage and Cost Effects of Key Health Insurance Reforms Being Considered by Congress. The Commonwealth Fund. </w:t>
      </w:r>
      <w:hyperlink r:id="rId6" w:history="1">
        <w:r w:rsidR="00033265" w:rsidRPr="00D15387">
          <w:rPr>
            <w:rStyle w:val="Hyperlink"/>
          </w:rPr>
          <w:t>https://www.commonwealthfund.org/publications/issue-briefs/2021/sep/coverage-cost-effects-key-health-insurance-reforms-congress</w:t>
        </w:r>
      </w:hyperlink>
      <w:r w:rsidR="00F30AD1">
        <w:t xml:space="preserve"> </w:t>
      </w:r>
    </w:p>
  </w:footnote>
  <w:footnote w:id="7">
    <w:p w14:paraId="56F9A601" w14:textId="77777777" w:rsidR="00556D80" w:rsidRDefault="00556D80">
      <w:pPr>
        <w:pStyle w:val="FootnoteText"/>
      </w:pPr>
      <w:r>
        <w:rPr>
          <w:rStyle w:val="FootnoteReference"/>
        </w:rPr>
        <w:footnoteRef/>
      </w:r>
      <w:r>
        <w:t xml:space="preserve"> Appendix Table 4. </w:t>
      </w:r>
      <w:hyperlink r:id="rId7" w:anchor="page=3" w:history="1">
        <w:r w:rsidRPr="00AE4CD7">
          <w:rPr>
            <w:rStyle w:val="Hyperlink"/>
          </w:rPr>
          <w:t>https://www.commonwealthfund.org/sites/default/files/2021-10/Banthin_coverage_cost_effects_key_reforms_APPENDIX_UPDATED_10-05-2021.pdf#page=3</w:t>
        </w:r>
      </w:hyperlink>
      <w:r>
        <w:t xml:space="preserve"> </w:t>
      </w:r>
    </w:p>
  </w:footnote>
  <w:footnote w:id="8">
    <w:p w14:paraId="426261FC" w14:textId="77777777" w:rsidR="00556D80" w:rsidRDefault="00556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E3E">
        <w:t xml:space="preserve">Health Resources and Services Administration. (2021). 2020 Health Center Data: National Data </w:t>
      </w:r>
      <w:hyperlink r:id="rId8" w:history="1">
        <w:r w:rsidRPr="00AB641D">
          <w:rPr>
            <w:rStyle w:val="Hyperlink"/>
          </w:rPr>
          <w:t>https://data.hrsa.gov/tools/data-reporting/program-data/national/table?tableName=Full&amp;year=2020</w:t>
        </w:r>
      </w:hyperlink>
    </w:p>
  </w:footnote>
  <w:footnote w:id="9">
    <w:p w14:paraId="5355D06B" w14:textId="77777777" w:rsidR="00363AF3" w:rsidRDefault="00363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3AF3">
        <w:t>Sharac, J., Jacobs, F., Shin, P., &amp; Rosenbaum, S. (2021). The Toll Taken on Poor Communities: Community Health Centers in the First Year of the COVID-19 Pandemic.</w:t>
      </w:r>
      <w:r>
        <w:t xml:space="preserve"> </w:t>
      </w:r>
      <w:r w:rsidRPr="00363AF3">
        <w:t xml:space="preserve">Geiger Gibson/RCHN Community Health Foundation Research Collaborative, George Washington University. Policy Research Brief No. 66. </w:t>
      </w:r>
      <w:hyperlink r:id="rId9" w:history="1">
        <w:r w:rsidRPr="00AE4CD7">
          <w:rPr>
            <w:rStyle w:val="Hyperlink"/>
          </w:rPr>
          <w:t>https://www.rchnfoundation.org/?p=9949</w:t>
        </w:r>
      </w:hyperlink>
      <w:r>
        <w:t xml:space="preserve"> </w:t>
      </w:r>
    </w:p>
  </w:footnote>
  <w:footnote w:id="10">
    <w:p w14:paraId="1E298AD7" w14:textId="77777777" w:rsidR="00177486" w:rsidRDefault="001774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7486">
        <w:t xml:space="preserve">Sharac, J., Jacobs, F., Shin, P., &amp; Rosenbaum, S. (2021). The Toll Taken on Poor Communities: Community Health Centers in the First Year of the COVID-19 Pandemic. Geiger Gibson/RCHN Community Health Foundation Research Collaborative, George Washington University. Policy Research Brief No. 66. </w:t>
      </w:r>
      <w:hyperlink r:id="rId10" w:history="1">
        <w:r w:rsidRPr="0052500E">
          <w:rPr>
            <w:rStyle w:val="Hyperlink"/>
          </w:rPr>
          <w:t>https://www.rchnfoundation.org/?p=9949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9E6"/>
    <w:rsid w:val="00033265"/>
    <w:rsid w:val="0007049B"/>
    <w:rsid w:val="00072683"/>
    <w:rsid w:val="000C3AEF"/>
    <w:rsid w:val="000F6369"/>
    <w:rsid w:val="00110EC4"/>
    <w:rsid w:val="00156B4A"/>
    <w:rsid w:val="00177486"/>
    <w:rsid w:val="00257775"/>
    <w:rsid w:val="003528CB"/>
    <w:rsid w:val="00363AF3"/>
    <w:rsid w:val="003C4345"/>
    <w:rsid w:val="003D4196"/>
    <w:rsid w:val="00403C21"/>
    <w:rsid w:val="004D0BEC"/>
    <w:rsid w:val="005565B7"/>
    <w:rsid w:val="00556D80"/>
    <w:rsid w:val="005632F4"/>
    <w:rsid w:val="005F25E3"/>
    <w:rsid w:val="00605C0E"/>
    <w:rsid w:val="006859E0"/>
    <w:rsid w:val="006B75D1"/>
    <w:rsid w:val="00711CA5"/>
    <w:rsid w:val="0071561C"/>
    <w:rsid w:val="007463B7"/>
    <w:rsid w:val="007D4473"/>
    <w:rsid w:val="00804F98"/>
    <w:rsid w:val="008E0585"/>
    <w:rsid w:val="008F528B"/>
    <w:rsid w:val="00931914"/>
    <w:rsid w:val="009321B1"/>
    <w:rsid w:val="009341E1"/>
    <w:rsid w:val="009973A5"/>
    <w:rsid w:val="009A444E"/>
    <w:rsid w:val="009C47A5"/>
    <w:rsid w:val="009C6393"/>
    <w:rsid w:val="00A247DF"/>
    <w:rsid w:val="00AB3059"/>
    <w:rsid w:val="00AE4C9A"/>
    <w:rsid w:val="00B06722"/>
    <w:rsid w:val="00B659E6"/>
    <w:rsid w:val="00C30697"/>
    <w:rsid w:val="00C37CDC"/>
    <w:rsid w:val="00C83F8C"/>
    <w:rsid w:val="00C91E22"/>
    <w:rsid w:val="00CE6989"/>
    <w:rsid w:val="00D40B02"/>
    <w:rsid w:val="00D443CC"/>
    <w:rsid w:val="00DA26DA"/>
    <w:rsid w:val="00DF6D9A"/>
    <w:rsid w:val="00E16049"/>
    <w:rsid w:val="00E43EE5"/>
    <w:rsid w:val="00EE41A5"/>
    <w:rsid w:val="00F30AD1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8A73"/>
  <w15:docId w15:val="{23663376-C51F-4862-BA7B-CEF1A5D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9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59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9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4E"/>
  </w:style>
  <w:style w:type="paragraph" w:styleId="Footer">
    <w:name w:val="footer"/>
    <w:basedOn w:val="Normal"/>
    <w:link w:val="FooterChar"/>
    <w:uiPriority w:val="99"/>
    <w:unhideWhenUsed/>
    <w:rsid w:val="009A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4E"/>
  </w:style>
  <w:style w:type="paragraph" w:styleId="BalloonText">
    <w:name w:val="Balloon Text"/>
    <w:basedOn w:val="Normal"/>
    <w:link w:val="BalloonTextChar"/>
    <w:uiPriority w:val="99"/>
    <w:semiHidden/>
    <w:unhideWhenUsed/>
    <w:rsid w:val="00D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6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hrsa.gov/tools/data-reporting/program-data/national/table?tableName=Full&amp;year=2020" TargetMode="External"/><Relationship Id="rId3" Type="http://schemas.openxmlformats.org/officeDocument/2006/relationships/hyperlink" Target="https://rules.house.gov/sites/democrats.rules.house.gov/files/Section_by_Section_BBB.pdf" TargetMode="External"/><Relationship Id="rId7" Type="http://schemas.openxmlformats.org/officeDocument/2006/relationships/hyperlink" Target="https://www.commonwealthfund.org/sites/default/files/2021-10/Banthin_coverage_cost_effects_key_reforms_APPENDIX_UPDATED_10-05-2021.pdf" TargetMode="External"/><Relationship Id="rId2" Type="http://schemas.openxmlformats.org/officeDocument/2006/relationships/hyperlink" Target="https://rules.house.gov/sites/democrats.rules.house.gov/files/BILLS-117HR5376RH-RCP117-17.pdf" TargetMode="External"/><Relationship Id="rId1" Type="http://schemas.openxmlformats.org/officeDocument/2006/relationships/hyperlink" Target="https://data.hrsa.gov/tools/data-reporting/program-data/national/table?tableName=Full&amp;year=2020" TargetMode="External"/><Relationship Id="rId6" Type="http://schemas.openxmlformats.org/officeDocument/2006/relationships/hyperlink" Target="https://www.commonwealthfund.org/publications/issue-briefs/2021/sep/coverage-cost-effects-key-health-insurance-reforms-congress" TargetMode="External"/><Relationship Id="rId5" Type="http://schemas.openxmlformats.org/officeDocument/2006/relationships/hyperlink" Target="https://aspe.hhs.gov/topics/poverty-economic-mobility/poverty-guidelines/prior-hhs-poverty-guidelines-federal-register-references/2021-poverty-guidelines" TargetMode="External"/><Relationship Id="rId10" Type="http://schemas.openxmlformats.org/officeDocument/2006/relationships/hyperlink" Target="https://www.rchnfoundation.org/?p=9949" TargetMode="External"/><Relationship Id="rId4" Type="http://schemas.openxmlformats.org/officeDocument/2006/relationships/hyperlink" Target="https://www.kff.org/medicaid/issue-brief/the-coverage-gap-uninsured-poor-adults-in-states-that-do-not-expand-medicaid/" TargetMode="External"/><Relationship Id="rId9" Type="http://schemas.openxmlformats.org/officeDocument/2006/relationships/hyperlink" Target="https://www.rchnfoundation.org/?p=9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1355-F9D6-42D2-9A29-98156E6A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Sharac, Jessica M.</dc:creator>
  <cp:lastModifiedBy>Feygele Jacobs</cp:lastModifiedBy>
  <cp:revision>2</cp:revision>
  <dcterms:created xsi:type="dcterms:W3CDTF">2021-11-08T23:09:00Z</dcterms:created>
  <dcterms:modified xsi:type="dcterms:W3CDTF">2021-11-08T23:09:00Z</dcterms:modified>
</cp:coreProperties>
</file>